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29B00" w14:textId="77777777" w:rsidR="00C93D44" w:rsidRPr="00186140" w:rsidRDefault="00C93D44">
      <w:pPr>
        <w:rPr>
          <w:rFonts w:ascii="Calibri Light" w:hAnsi="Calibri Light" w:cs="Calibri Light"/>
          <w:lang w:val="en-GB"/>
        </w:rPr>
      </w:pPr>
    </w:p>
    <w:p w14:paraId="49110EB0" w14:textId="77777777" w:rsidR="00D0637D" w:rsidRDefault="00C93D44">
      <w:pPr>
        <w:rPr>
          <w:rFonts w:ascii="Calibri Light" w:hAnsi="Calibri Light" w:cs="Calibri Light"/>
          <w:b/>
          <w:lang w:val="en-GB"/>
        </w:rPr>
      </w:pPr>
      <w:r w:rsidRPr="00186140">
        <w:rPr>
          <w:rFonts w:ascii="Calibri Light" w:hAnsi="Calibri Light" w:cs="Calibri Light"/>
          <w:b/>
          <w:lang w:val="en-GB"/>
        </w:rPr>
        <w:t>Summary</w:t>
      </w:r>
      <w:r w:rsidR="00D0637D" w:rsidRPr="00186140">
        <w:rPr>
          <w:rFonts w:ascii="Calibri Light" w:hAnsi="Calibri Light" w:cs="Calibri Light"/>
          <w:b/>
          <w:lang w:val="en-GB"/>
        </w:rPr>
        <w:t xml:space="preserve"> </w:t>
      </w:r>
    </w:p>
    <w:p w14:paraId="2E6D5EEA" w14:textId="4D2DF272" w:rsidR="001A495C" w:rsidRPr="00186140" w:rsidRDefault="001A495C">
      <w:pPr>
        <w:rPr>
          <w:rFonts w:ascii="Calibri Light" w:hAnsi="Calibri Light" w:cs="Calibri Light"/>
          <w:b/>
          <w:lang w:val="en-GB"/>
        </w:rPr>
      </w:pPr>
      <w:r>
        <w:rPr>
          <w:rFonts w:ascii="Calibri Light" w:hAnsi="Calibri Light" w:cs="Calibri Light"/>
          <w:b/>
          <w:lang w:val="en-GB"/>
        </w:rPr>
        <w:t>Authors: C.Dressler, G. Avila Valles</w:t>
      </w:r>
      <w:r w:rsidR="007A3356">
        <w:rPr>
          <w:rFonts w:ascii="Calibri Light" w:hAnsi="Calibri Light" w:cs="Calibri Light"/>
          <w:b/>
          <w:lang w:val="en-GB"/>
        </w:rPr>
        <w:t>,</w:t>
      </w:r>
    </w:p>
    <w:p w14:paraId="34DEFCD8" w14:textId="3C2CE582" w:rsidR="00C93D44" w:rsidRPr="00186140" w:rsidRDefault="00D0637D">
      <w:pPr>
        <w:rPr>
          <w:rFonts w:ascii="Calibri Light" w:hAnsi="Calibri Light" w:cs="Calibri Light"/>
          <w:b/>
          <w:lang w:val="en-GB"/>
        </w:rPr>
      </w:pPr>
      <w:r w:rsidRPr="00186140">
        <w:rPr>
          <w:rFonts w:ascii="Calibri Light" w:hAnsi="Calibri Light" w:cs="Calibri Light"/>
          <w:b/>
          <w:lang w:val="en-GB"/>
        </w:rPr>
        <w:t>Update 1 – August 2021</w:t>
      </w:r>
      <w:r w:rsidR="007E215E">
        <w:rPr>
          <w:rFonts w:ascii="Calibri Light" w:hAnsi="Calibri Light" w:cs="Calibri Light"/>
          <w:b/>
          <w:lang w:val="en-GB"/>
        </w:rPr>
        <w:t xml:space="preserve"> (</w:t>
      </w:r>
      <w:r w:rsidR="007E215E" w:rsidRPr="007E215E">
        <w:rPr>
          <w:color w:val="0070C0"/>
          <w:lang w:val="en-US"/>
        </w:rPr>
        <w:t>blue = new</w:t>
      </w:r>
      <w:r w:rsidR="007E215E">
        <w:rPr>
          <w:color w:val="0070C0"/>
          <w:lang w:val="en-US"/>
        </w:rPr>
        <w:t xml:space="preserve"> study or additional</w:t>
      </w:r>
      <w:r w:rsidR="007E215E" w:rsidRPr="007E215E">
        <w:rPr>
          <w:color w:val="0070C0"/>
          <w:lang w:val="en-US"/>
        </w:rPr>
        <w:t xml:space="preserve"> data)</w:t>
      </w:r>
    </w:p>
    <w:p w14:paraId="6996A908" w14:textId="77777777" w:rsidR="003D207A" w:rsidRPr="00186140" w:rsidRDefault="003D207A" w:rsidP="003D207A">
      <w:pPr>
        <w:rPr>
          <w:rFonts w:ascii="Calibri Light" w:hAnsi="Calibri Light" w:cs="Calibri Light"/>
          <w:b/>
          <w:lang w:val="en-GB"/>
        </w:rPr>
      </w:pPr>
      <w:r w:rsidRPr="00186140">
        <w:rPr>
          <w:rFonts w:ascii="Calibri Light" w:hAnsi="Calibri Light" w:cs="Calibri Light"/>
          <w:b/>
          <w:lang w:val="en-GB"/>
        </w:rPr>
        <w:t>What was the aim of this systematic review?</w:t>
      </w:r>
    </w:p>
    <w:p w14:paraId="53DF8B72" w14:textId="77777777" w:rsidR="003D207A" w:rsidRPr="00186140" w:rsidRDefault="003D207A">
      <w:p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>The aim of this review update was to</w:t>
      </w:r>
      <w:r w:rsidR="0054469D">
        <w:rPr>
          <w:rFonts w:ascii="Calibri Light" w:hAnsi="Calibri Light" w:cs="Calibri Light"/>
          <w:lang w:val="en-GB"/>
        </w:rPr>
        <w:t xml:space="preserve"> continuously</w:t>
      </w:r>
      <w:r w:rsidRPr="00186140">
        <w:rPr>
          <w:rFonts w:ascii="Calibri Light" w:hAnsi="Calibri Light" w:cs="Calibri Light"/>
          <w:lang w:val="en-GB"/>
        </w:rPr>
        <w:t xml:space="preserve"> inform the guideline development group</w:t>
      </w:r>
      <w:r w:rsidR="007F2AB6">
        <w:rPr>
          <w:rFonts w:ascii="Calibri Light" w:hAnsi="Calibri Light" w:cs="Calibri Light"/>
          <w:lang w:val="en-GB"/>
        </w:rPr>
        <w:t xml:space="preserve"> of new evidence </w:t>
      </w:r>
      <w:r w:rsidR="00561FEA">
        <w:rPr>
          <w:rFonts w:ascii="Calibri Light" w:hAnsi="Calibri Light" w:cs="Calibri Light"/>
          <w:lang w:val="en-GB"/>
        </w:rPr>
        <w:t xml:space="preserve">on treatments for patients with </w:t>
      </w:r>
      <w:r w:rsidR="00561FEA" w:rsidRPr="006C400A">
        <w:rPr>
          <w:rFonts w:ascii="Calibri Light" w:hAnsi="Calibri Light" w:cs="Calibri Light"/>
          <w:b/>
          <w:lang w:val="en-GB"/>
        </w:rPr>
        <w:t>psoriasis vulgaris who also have psoriasis arthritis</w:t>
      </w:r>
      <w:r w:rsidR="007F2AB6">
        <w:rPr>
          <w:rFonts w:ascii="Calibri Light" w:hAnsi="Calibri Light" w:cs="Calibri Light"/>
          <w:lang w:val="en-GB"/>
        </w:rPr>
        <w:t xml:space="preserve">. </w:t>
      </w:r>
    </w:p>
    <w:p w14:paraId="41F571B3" w14:textId="77777777" w:rsidR="000912E7" w:rsidRDefault="000912E7">
      <w:p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 xml:space="preserve">We updated two systematic reviews published in 2017, once in 2019 </w:t>
      </w:r>
      <w:r w:rsidR="00C15714">
        <w:rPr>
          <w:rFonts w:ascii="Calibri Light" w:hAnsi="Calibri Light" w:cs="Calibri Light"/>
          <w:lang w:val="en-GB"/>
        </w:rPr>
        <w:t>to inform the original version of the EuroGuiDerm psoriasis guideline. We update the review again in 2021.</w:t>
      </w:r>
    </w:p>
    <w:p w14:paraId="0017BF57" w14:textId="77777777" w:rsidR="00235656" w:rsidRPr="00235656" w:rsidRDefault="00235656">
      <w:pPr>
        <w:rPr>
          <w:rFonts w:ascii="Calibri Light" w:hAnsi="Calibri Light" w:cs="Calibri Light"/>
          <w:b/>
          <w:lang w:val="en-GB"/>
        </w:rPr>
      </w:pPr>
      <w:r w:rsidRPr="00235656">
        <w:rPr>
          <w:rFonts w:ascii="Calibri Light" w:hAnsi="Calibri Light" w:cs="Calibri Light"/>
          <w:b/>
          <w:lang w:val="en-GB"/>
        </w:rPr>
        <w:t xml:space="preserve">What did we do? </w:t>
      </w:r>
    </w:p>
    <w:p w14:paraId="2A1421E2" w14:textId="77777777" w:rsidR="00C5519F" w:rsidRPr="00186140" w:rsidRDefault="00C93D44" w:rsidP="00C5519F">
      <w:p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>The search strategy as well as the eligibility criteria specified that only those drugs (and dosages) that are licensed for psoriasis vulgaris and psoriasis arthritis are included.</w:t>
      </w:r>
      <w:r w:rsidR="00C5519F">
        <w:rPr>
          <w:rFonts w:ascii="Calibri Light" w:hAnsi="Calibri Light" w:cs="Calibri Light"/>
          <w:lang w:val="en-GB"/>
        </w:rPr>
        <w:t xml:space="preserve"> We considered ACR 20 - </w:t>
      </w:r>
      <w:r w:rsidR="00C5519F" w:rsidRPr="00C5519F">
        <w:rPr>
          <w:rFonts w:ascii="Calibri Light" w:hAnsi="Calibri Light" w:cs="Calibri Light"/>
          <w:lang w:val="en-GB"/>
        </w:rPr>
        <w:t>a &gt;=20% improvement in t</w:t>
      </w:r>
      <w:r w:rsidR="00C5519F">
        <w:rPr>
          <w:rFonts w:ascii="Calibri Light" w:hAnsi="Calibri Light" w:cs="Calibri Light"/>
          <w:lang w:val="en-GB"/>
        </w:rPr>
        <w:t xml:space="preserve">he modified American College of </w:t>
      </w:r>
      <w:r w:rsidR="00C5519F" w:rsidRPr="00C5519F">
        <w:rPr>
          <w:rFonts w:ascii="Calibri Light" w:hAnsi="Calibri Light" w:cs="Calibri Light"/>
          <w:lang w:val="en-GB"/>
        </w:rPr>
        <w:t>Rheumatology Response Criteria</w:t>
      </w:r>
      <w:r w:rsidR="00C5519F">
        <w:rPr>
          <w:rFonts w:ascii="Calibri Light" w:hAnsi="Calibri Light" w:cs="Calibri Light"/>
          <w:lang w:val="en-GB"/>
        </w:rPr>
        <w:t xml:space="preserve"> and the number of patients with at least one adverse event as the two relevant outcomes.</w:t>
      </w:r>
      <w:r w:rsidR="00B57842">
        <w:rPr>
          <w:rFonts w:ascii="Calibri Light" w:hAnsi="Calibri Light" w:cs="Calibri Light"/>
          <w:lang w:val="en-GB"/>
        </w:rPr>
        <w:t xml:space="preserve"> We evaluated the certainty of evidence.</w:t>
      </w:r>
      <w:r w:rsidR="00C5519F">
        <w:rPr>
          <w:rFonts w:ascii="Calibri Light" w:hAnsi="Calibri Light" w:cs="Calibri Light"/>
          <w:lang w:val="en-GB"/>
        </w:rPr>
        <w:t xml:space="preserve"> </w:t>
      </w:r>
      <w:r w:rsidR="006C400A">
        <w:rPr>
          <w:rFonts w:ascii="Calibri Light" w:hAnsi="Calibri Light" w:cs="Calibri Light"/>
          <w:lang w:val="en-GB"/>
        </w:rPr>
        <w:t>For details, see Methods Report.</w:t>
      </w:r>
    </w:p>
    <w:p w14:paraId="61649432" w14:textId="77777777" w:rsidR="003D207A" w:rsidRPr="00186140" w:rsidRDefault="003D207A" w:rsidP="003D207A">
      <w:pPr>
        <w:rPr>
          <w:rFonts w:ascii="Calibri Light" w:hAnsi="Calibri Light" w:cs="Calibri Light"/>
          <w:b/>
          <w:lang w:val="en-GB"/>
        </w:rPr>
      </w:pPr>
      <w:r w:rsidRPr="00186140">
        <w:rPr>
          <w:rFonts w:ascii="Calibri Light" w:hAnsi="Calibri Light" w:cs="Calibri Light"/>
          <w:b/>
          <w:lang w:val="en-GB"/>
        </w:rPr>
        <w:t>What are the main results of the review?</w:t>
      </w:r>
    </w:p>
    <w:p w14:paraId="6A96395F" w14:textId="1B3F9792" w:rsidR="003D207A" w:rsidRPr="00186140" w:rsidRDefault="003D207A">
      <w:p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>We included 5 new studies. A total of 27 trials are now included in this review</w:t>
      </w:r>
      <w:r w:rsidR="00923FB3">
        <w:rPr>
          <w:rFonts w:ascii="Calibri Light" w:hAnsi="Calibri Light" w:cs="Calibri Light"/>
          <w:lang w:val="en-GB"/>
        </w:rPr>
        <w:t xml:space="preserve"> (see included studies table)</w:t>
      </w:r>
      <w:r w:rsidRPr="00186140">
        <w:rPr>
          <w:rFonts w:ascii="Calibri Light" w:hAnsi="Calibri Light" w:cs="Calibri Light"/>
          <w:lang w:val="en-GB"/>
        </w:rPr>
        <w:t xml:space="preserve">. </w:t>
      </w:r>
    </w:p>
    <w:p w14:paraId="2023F157" w14:textId="0673B7D8" w:rsidR="00923FB3" w:rsidRDefault="00923FB3">
      <w:pPr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For an overview of the results, </w:t>
      </w:r>
      <w:r w:rsidRPr="00186140">
        <w:rPr>
          <w:rFonts w:ascii="Calibri Light" w:hAnsi="Calibri Light" w:cs="Calibri Light"/>
          <w:lang w:val="en-GB"/>
        </w:rPr>
        <w:t xml:space="preserve">see </w:t>
      </w:r>
      <w:r w:rsidRPr="00186140">
        <w:rPr>
          <w:rFonts w:ascii="Calibri Light" w:hAnsi="Calibri Light" w:cs="Calibri Light"/>
          <w:lang w:val="en-GB"/>
        </w:rPr>
        <w:fldChar w:fldCharType="begin"/>
      </w:r>
      <w:r w:rsidRPr="00186140">
        <w:rPr>
          <w:rFonts w:ascii="Calibri Light" w:hAnsi="Calibri Light" w:cs="Calibri Light"/>
          <w:lang w:val="en-GB"/>
        </w:rPr>
        <w:instrText xml:space="preserve"> REF _Ref78788365 \h </w:instrText>
      </w:r>
      <w:r>
        <w:rPr>
          <w:rFonts w:ascii="Calibri Light" w:hAnsi="Calibri Light" w:cs="Calibri Light"/>
          <w:lang w:val="en-GB"/>
        </w:rPr>
        <w:instrText xml:space="preserve"> \* MERGEFORMAT </w:instrText>
      </w:r>
      <w:r w:rsidRPr="00186140">
        <w:rPr>
          <w:rFonts w:ascii="Calibri Light" w:hAnsi="Calibri Light" w:cs="Calibri Light"/>
          <w:lang w:val="en-GB"/>
        </w:rPr>
      </w:r>
      <w:r w:rsidRPr="00186140">
        <w:rPr>
          <w:rFonts w:ascii="Calibri Light" w:hAnsi="Calibri Light" w:cs="Calibri Light"/>
          <w:lang w:val="en-GB"/>
        </w:rPr>
        <w:fldChar w:fldCharType="separate"/>
      </w:r>
      <w:r w:rsidRPr="00186140">
        <w:rPr>
          <w:rFonts w:ascii="Calibri Light" w:hAnsi="Calibri Light" w:cs="Calibri Light"/>
          <w:lang w:val="en-GB"/>
        </w:rPr>
        <w:t xml:space="preserve">Table </w:t>
      </w:r>
      <w:r w:rsidRPr="00186140">
        <w:rPr>
          <w:rFonts w:ascii="Calibri Light" w:hAnsi="Calibri Light" w:cs="Calibri Light"/>
          <w:noProof/>
          <w:lang w:val="en-GB"/>
        </w:rPr>
        <w:t>1</w:t>
      </w:r>
      <w:r w:rsidRPr="00186140">
        <w:rPr>
          <w:rFonts w:ascii="Calibri Light" w:hAnsi="Calibri Light" w:cs="Calibri Light"/>
          <w:lang w:val="en-GB"/>
        </w:rPr>
        <w:fldChar w:fldCharType="end"/>
      </w:r>
      <w:r w:rsidRPr="00186140">
        <w:rPr>
          <w:rFonts w:ascii="Calibri Light" w:hAnsi="Calibri Light" w:cs="Calibri Light"/>
          <w:lang w:val="en-GB"/>
        </w:rPr>
        <w:t>.</w:t>
      </w:r>
    </w:p>
    <w:p w14:paraId="1DEE6BCD" w14:textId="77777777" w:rsidR="003D207A" w:rsidRPr="00641701" w:rsidRDefault="00FB7818">
      <w:pPr>
        <w:rPr>
          <w:rFonts w:ascii="Calibri Light" w:hAnsi="Calibri Light" w:cs="Calibri Light"/>
          <w:lang w:val="en-GB"/>
        </w:rPr>
      </w:pPr>
      <w:r w:rsidRPr="00641701">
        <w:rPr>
          <w:rFonts w:ascii="Calibri Light" w:hAnsi="Calibri Light" w:cs="Calibri Light"/>
          <w:lang w:val="en-GB"/>
        </w:rPr>
        <w:t xml:space="preserve">Head-to-head </w:t>
      </w:r>
      <w:r w:rsidR="00AF42DF" w:rsidRPr="00641701">
        <w:rPr>
          <w:rFonts w:ascii="Calibri Light" w:hAnsi="Calibri Light" w:cs="Calibri Light"/>
          <w:lang w:val="en-GB"/>
        </w:rPr>
        <w:t>comparisons</w:t>
      </w:r>
      <w:r w:rsidRPr="00641701">
        <w:rPr>
          <w:rFonts w:ascii="Calibri Light" w:hAnsi="Calibri Light" w:cs="Calibri Light"/>
          <w:lang w:val="en-GB"/>
        </w:rPr>
        <w:t>:</w:t>
      </w:r>
    </w:p>
    <w:p w14:paraId="5EAA5F1A" w14:textId="77777777" w:rsidR="00FB7818" w:rsidRPr="00641701" w:rsidRDefault="00FB7818" w:rsidP="00FB7818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641701">
        <w:rPr>
          <w:rFonts w:ascii="Calibri Light" w:hAnsi="Calibri Light" w:cs="Calibri Light"/>
          <w:lang w:val="en-GB"/>
        </w:rPr>
        <w:t>There is probably little or no differenc</w:t>
      </w:r>
      <w:r w:rsidR="00736859" w:rsidRPr="00641701">
        <w:rPr>
          <w:rFonts w:ascii="Calibri Light" w:hAnsi="Calibri Light" w:cs="Calibri Light"/>
          <w:lang w:val="en-GB"/>
        </w:rPr>
        <w:t>e between adalimumab and secukinumab</w:t>
      </w:r>
      <w:r w:rsidRPr="00641701">
        <w:rPr>
          <w:rFonts w:ascii="Calibri Light" w:hAnsi="Calibri Light" w:cs="Calibri Light"/>
          <w:lang w:val="en-GB"/>
        </w:rPr>
        <w:t xml:space="preserve">. </w:t>
      </w:r>
    </w:p>
    <w:p w14:paraId="490F5B29" w14:textId="77777777" w:rsidR="00FB7818" w:rsidRPr="00641701" w:rsidRDefault="00FB7818" w:rsidP="00FB7818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641701">
        <w:rPr>
          <w:rFonts w:ascii="Calibri Light" w:hAnsi="Calibri Light" w:cs="Calibri Light"/>
          <w:lang w:val="en-GB"/>
        </w:rPr>
        <w:t>Etanercept combined with methotrexate may improve psoriatic arthritis slightly compared to methotrexate alone</w:t>
      </w:r>
      <w:r w:rsidR="00E922C1" w:rsidRPr="00641701">
        <w:rPr>
          <w:rFonts w:ascii="Calibri Light" w:hAnsi="Calibri Light" w:cs="Calibri Light"/>
          <w:lang w:val="en-GB"/>
        </w:rPr>
        <w:t xml:space="preserve"> </w:t>
      </w:r>
      <w:r w:rsidR="00736859" w:rsidRPr="00641701">
        <w:rPr>
          <w:rFonts w:ascii="Calibri Light" w:hAnsi="Calibri Light" w:cs="Calibri Light"/>
          <w:lang w:val="en-GB"/>
        </w:rPr>
        <w:t>(ACR20)</w:t>
      </w:r>
      <w:r w:rsidRPr="00641701">
        <w:rPr>
          <w:rFonts w:ascii="Calibri Light" w:hAnsi="Calibri Light" w:cs="Calibri Light"/>
          <w:lang w:val="en-GB"/>
        </w:rPr>
        <w:t xml:space="preserve">, but there is little or no difference when looking at the </w:t>
      </w:r>
      <w:r w:rsidR="00736859" w:rsidRPr="00641701">
        <w:rPr>
          <w:rFonts w:ascii="Calibri Light" w:hAnsi="Calibri Light" w:cs="Calibri Light"/>
          <w:lang w:val="en-GB"/>
        </w:rPr>
        <w:t>adverse events</w:t>
      </w:r>
      <w:r w:rsidRPr="00641701">
        <w:rPr>
          <w:rFonts w:ascii="Calibri Light" w:hAnsi="Calibri Light" w:cs="Calibri Light"/>
          <w:lang w:val="en-GB"/>
        </w:rPr>
        <w:t>.</w:t>
      </w:r>
    </w:p>
    <w:p w14:paraId="6D291141" w14:textId="77777777" w:rsidR="00FB7818" w:rsidRPr="00641701" w:rsidRDefault="00FB7818" w:rsidP="00FB7818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641701">
        <w:rPr>
          <w:rFonts w:ascii="Calibri Light" w:hAnsi="Calibri Light" w:cs="Calibri Light"/>
          <w:lang w:val="en-GB"/>
        </w:rPr>
        <w:t xml:space="preserve">We are uncertain whether </w:t>
      </w:r>
      <w:r w:rsidR="00736859" w:rsidRPr="00641701">
        <w:rPr>
          <w:rFonts w:ascii="Calibri Light" w:hAnsi="Calibri Light" w:cs="Calibri Light"/>
          <w:lang w:val="en-GB"/>
        </w:rPr>
        <w:t xml:space="preserve">there is an effect considering infliximab combined with </w:t>
      </w:r>
      <w:r w:rsidR="00AF42DF" w:rsidRPr="00641701">
        <w:rPr>
          <w:rFonts w:ascii="Calibri Light" w:hAnsi="Calibri Light" w:cs="Calibri Light"/>
          <w:lang w:val="en-GB"/>
        </w:rPr>
        <w:t>methotrexate</w:t>
      </w:r>
      <w:r w:rsidR="00736859" w:rsidRPr="00641701">
        <w:rPr>
          <w:rFonts w:ascii="Calibri Light" w:hAnsi="Calibri Light" w:cs="Calibri Light"/>
          <w:lang w:val="en-GB"/>
        </w:rPr>
        <w:t xml:space="preserve"> versus methotrexate alone. </w:t>
      </w:r>
    </w:p>
    <w:p w14:paraId="5B87D0E4" w14:textId="56D3A7AA" w:rsidR="00FB7818" w:rsidRDefault="00FB7818" w:rsidP="00FB7818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641701">
        <w:rPr>
          <w:rFonts w:ascii="Calibri Light" w:hAnsi="Calibri Light" w:cs="Calibri Light"/>
          <w:lang w:val="en-GB"/>
        </w:rPr>
        <w:t>There is very low certainty</w:t>
      </w:r>
      <w:r w:rsidR="00736859" w:rsidRPr="00641701">
        <w:rPr>
          <w:rFonts w:ascii="Calibri Light" w:hAnsi="Calibri Light" w:cs="Calibri Light"/>
          <w:lang w:val="en-GB"/>
        </w:rPr>
        <w:t xml:space="preserve"> evidence</w:t>
      </w:r>
      <w:r w:rsidRPr="00641701">
        <w:rPr>
          <w:rFonts w:ascii="Calibri Light" w:hAnsi="Calibri Light" w:cs="Calibri Light"/>
          <w:lang w:val="en-GB"/>
        </w:rPr>
        <w:t xml:space="preserve"> that ixekizumab was equally effective as adalimumab. There is probably little or no difference when considering adverse events.</w:t>
      </w:r>
    </w:p>
    <w:p w14:paraId="10D409FD" w14:textId="59DD4D33" w:rsidR="001E1A9E" w:rsidRDefault="001E1A9E" w:rsidP="001E1A9E">
      <w:pPr>
        <w:ind w:left="360"/>
        <w:rPr>
          <w:rFonts w:ascii="Calibri Light" w:hAnsi="Calibri Light" w:cs="Calibri Light"/>
          <w:i/>
          <w:lang w:val="en-GB"/>
        </w:rPr>
      </w:pPr>
      <w:r w:rsidRPr="001E1A9E">
        <w:rPr>
          <w:rFonts w:ascii="Calibri Light" w:hAnsi="Calibri Light" w:cs="Calibri Light"/>
          <w:i/>
          <w:lang w:val="en-GB"/>
        </w:rPr>
        <w:t>(The reporting of the results is worded in line with the recommendations of the Cochrane Consumers and Communication group, which take effect size and certainty of evidence into account.)</w:t>
      </w:r>
    </w:p>
    <w:p w14:paraId="19E7865B" w14:textId="77777777" w:rsidR="001E1A9E" w:rsidRPr="001E1A9E" w:rsidRDefault="001E1A9E" w:rsidP="001E1A9E">
      <w:pPr>
        <w:ind w:left="360"/>
        <w:rPr>
          <w:rFonts w:ascii="Calibri Light" w:hAnsi="Calibri Light" w:cs="Calibri Light"/>
          <w:i/>
          <w:lang w:val="en-GB"/>
        </w:rPr>
      </w:pPr>
    </w:p>
    <w:p w14:paraId="01A48DCE" w14:textId="77777777" w:rsidR="00641701" w:rsidRPr="00641701" w:rsidRDefault="00736859" w:rsidP="00C20816">
      <w:pPr>
        <w:rPr>
          <w:rFonts w:ascii="Calibri Light" w:hAnsi="Calibri Light" w:cs="Calibri Light"/>
          <w:lang w:val="en-GB"/>
        </w:rPr>
      </w:pPr>
      <w:r w:rsidRPr="00641701">
        <w:rPr>
          <w:rFonts w:ascii="Calibri Light" w:hAnsi="Calibri Light" w:cs="Calibri Light"/>
          <w:lang w:val="en-GB"/>
        </w:rPr>
        <w:t xml:space="preserve">Placebo comparisons </w:t>
      </w:r>
      <w:r w:rsidR="00AF42DF" w:rsidRPr="00641701">
        <w:rPr>
          <w:rFonts w:ascii="Calibri Light" w:hAnsi="Calibri Light" w:cs="Calibri Light"/>
          <w:lang w:val="en-GB"/>
        </w:rPr>
        <w:t>concerning</w:t>
      </w:r>
      <w:r w:rsidRPr="00641701">
        <w:rPr>
          <w:rFonts w:ascii="Calibri Light" w:hAnsi="Calibri Light" w:cs="Calibri Light"/>
          <w:lang w:val="en-GB"/>
        </w:rPr>
        <w:t xml:space="preserve"> efficacy (ACR20):</w:t>
      </w:r>
      <w:r w:rsidR="00C20816" w:rsidRPr="00641701">
        <w:rPr>
          <w:rFonts w:ascii="Calibri Light" w:hAnsi="Calibri Light" w:cs="Calibri Light"/>
          <w:lang w:val="en-GB"/>
        </w:rPr>
        <w:t xml:space="preserve"> </w:t>
      </w:r>
    </w:p>
    <w:p w14:paraId="299B3128" w14:textId="03C424E0" w:rsidR="00C20816" w:rsidRPr="00C20816" w:rsidRDefault="00C20816" w:rsidP="00C20816">
      <w:pPr>
        <w:rPr>
          <w:rFonts w:ascii="Calibri Light" w:hAnsi="Calibri Light" w:cs="Calibri Light"/>
          <w:lang w:val="en-GB"/>
        </w:rPr>
      </w:pPr>
      <w:r w:rsidRPr="00641701">
        <w:rPr>
          <w:rFonts w:ascii="Calibri Light" w:hAnsi="Calibri Light" w:cs="Calibri Light"/>
          <w:lang w:val="en-GB"/>
        </w:rPr>
        <w:t xml:space="preserve">For all of the below listed drugs except MTX, a statistically significant difference was found when compared to placebo. The results are based on </w:t>
      </w:r>
      <w:r w:rsidR="00C97697" w:rsidRPr="00641701">
        <w:rPr>
          <w:rFonts w:ascii="Calibri Light" w:hAnsi="Calibri Light" w:cs="Calibri Light"/>
          <w:lang w:val="en-GB"/>
        </w:rPr>
        <w:t>pairwise comparisons</w:t>
      </w:r>
      <w:r w:rsidR="00641701" w:rsidRPr="00641701">
        <w:rPr>
          <w:rFonts w:ascii="Calibri Light" w:hAnsi="Calibri Light" w:cs="Calibri Light"/>
          <w:lang w:val="en-GB"/>
        </w:rPr>
        <w:t xml:space="preserve"> against placebo</w:t>
      </w:r>
      <w:r w:rsidR="00C97697" w:rsidRPr="00641701">
        <w:rPr>
          <w:rFonts w:ascii="Calibri Light" w:hAnsi="Calibri Light" w:cs="Calibri Light"/>
          <w:lang w:val="en-GB"/>
        </w:rPr>
        <w:t>, which do</w:t>
      </w:r>
      <w:r w:rsidRPr="00641701">
        <w:rPr>
          <w:rFonts w:ascii="Calibri Light" w:hAnsi="Calibri Light" w:cs="Calibri Light"/>
          <w:lang w:val="en-GB"/>
        </w:rPr>
        <w:t xml:space="preserve"> not allow for direct comparison</w:t>
      </w:r>
      <w:r w:rsidR="00DE6EEE" w:rsidRPr="00641701">
        <w:rPr>
          <w:rFonts w:ascii="Calibri Light" w:hAnsi="Calibri Light" w:cs="Calibri Light"/>
          <w:lang w:val="en-GB"/>
        </w:rPr>
        <w:t>s</w:t>
      </w:r>
      <w:r w:rsidRPr="00641701">
        <w:rPr>
          <w:rFonts w:ascii="Calibri Light" w:hAnsi="Calibri Light" w:cs="Calibri Light"/>
          <w:lang w:val="en-GB"/>
        </w:rPr>
        <w:t xml:space="preserve"> between</w:t>
      </w:r>
      <w:r w:rsidR="00641701" w:rsidRPr="00641701">
        <w:rPr>
          <w:rFonts w:ascii="Calibri Light" w:hAnsi="Calibri Light" w:cs="Calibri Light"/>
          <w:lang w:val="en-GB"/>
        </w:rPr>
        <w:t xml:space="preserve"> the</w:t>
      </w:r>
      <w:r w:rsidRPr="00641701">
        <w:rPr>
          <w:rFonts w:ascii="Calibri Light" w:hAnsi="Calibri Light" w:cs="Calibri Light"/>
          <w:lang w:val="en-GB"/>
        </w:rPr>
        <w:t xml:space="preserve"> drugs.</w:t>
      </w:r>
      <w:r>
        <w:rPr>
          <w:rFonts w:ascii="Calibri Light" w:hAnsi="Calibri Light" w:cs="Calibri Light"/>
          <w:lang w:val="en-GB"/>
        </w:rPr>
        <w:t xml:space="preserve"> </w:t>
      </w:r>
    </w:p>
    <w:p w14:paraId="47AEF9AC" w14:textId="10586158" w:rsidR="00125682" w:rsidRPr="00186140" w:rsidRDefault="00125682" w:rsidP="00125682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 xml:space="preserve">Guselkumab, secukinumab and ustekinumab 45mg improve psoriatic arthritis. </w:t>
      </w:r>
    </w:p>
    <w:p w14:paraId="1EAD1D6B" w14:textId="7A1B5116" w:rsidR="00736859" w:rsidRPr="00186140" w:rsidRDefault="00736859" w:rsidP="00C2747E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>Adalimumab, apremilast, certolizumab pego</w:t>
      </w:r>
      <w:r w:rsidR="00AF42DF" w:rsidRPr="00186140">
        <w:rPr>
          <w:rFonts w:ascii="Calibri Light" w:hAnsi="Calibri Light" w:cs="Calibri Light"/>
          <w:lang w:val="en-GB"/>
        </w:rPr>
        <w:t>l</w:t>
      </w:r>
      <w:r w:rsidRPr="00186140">
        <w:rPr>
          <w:rFonts w:ascii="Calibri Light" w:hAnsi="Calibri Light" w:cs="Calibri Light"/>
          <w:lang w:val="en-GB"/>
        </w:rPr>
        <w:t>, infliximab, ixekizumab and ustekinumab 90mg probably improve psoriatic arthritis.</w:t>
      </w:r>
    </w:p>
    <w:p w14:paraId="724E54DB" w14:textId="77777777" w:rsidR="00736859" w:rsidRPr="00186140" w:rsidRDefault="00736859" w:rsidP="00736859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>Etanercept may improve psoriatic arthritis.</w:t>
      </w:r>
    </w:p>
    <w:p w14:paraId="421A3E3C" w14:textId="62DDCD0F" w:rsidR="00736859" w:rsidRDefault="00736859" w:rsidP="00736859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>Methotrexate may make little or no difference.</w:t>
      </w:r>
    </w:p>
    <w:p w14:paraId="764D34A3" w14:textId="4D4A38D3" w:rsidR="001E1A9E" w:rsidRPr="001E1A9E" w:rsidRDefault="001E1A9E" w:rsidP="001E1A9E">
      <w:pPr>
        <w:ind w:left="360"/>
        <w:rPr>
          <w:rFonts w:ascii="Calibri Light" w:hAnsi="Calibri Light" w:cs="Calibri Light"/>
          <w:i/>
          <w:lang w:val="en-GB"/>
        </w:rPr>
      </w:pPr>
      <w:bookmarkStart w:id="0" w:name="_GoBack"/>
      <w:bookmarkEnd w:id="0"/>
      <w:r w:rsidRPr="001E1A9E">
        <w:rPr>
          <w:rFonts w:ascii="Calibri Light" w:hAnsi="Calibri Light" w:cs="Calibri Light"/>
          <w:i/>
          <w:lang w:val="en-GB"/>
        </w:rPr>
        <w:t>(The reporting of the results is worded in line with the recommendations of the Cochrane Consumers and Communication group, which take effect size and certainty of evidence into account.)</w:t>
      </w:r>
    </w:p>
    <w:p w14:paraId="03D25433" w14:textId="77777777" w:rsidR="00736859" w:rsidRPr="00186140" w:rsidRDefault="00736859" w:rsidP="00736859">
      <w:p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lastRenderedPageBreak/>
        <w:t xml:space="preserve">Placebo comparisons </w:t>
      </w:r>
      <w:r w:rsidR="00AF42DF" w:rsidRPr="00186140">
        <w:rPr>
          <w:rFonts w:ascii="Calibri Light" w:hAnsi="Calibri Light" w:cs="Calibri Light"/>
          <w:lang w:val="en-GB"/>
        </w:rPr>
        <w:t>concerning</w:t>
      </w:r>
      <w:r w:rsidRPr="00186140">
        <w:rPr>
          <w:rFonts w:ascii="Calibri Light" w:hAnsi="Calibri Light" w:cs="Calibri Light"/>
          <w:lang w:val="en-GB"/>
        </w:rPr>
        <w:t xml:space="preserve"> safety (patients with at least one adverse event):</w:t>
      </w:r>
    </w:p>
    <w:p w14:paraId="36F4D82F" w14:textId="77777777" w:rsidR="00125682" w:rsidRDefault="00186140" w:rsidP="00125682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>There is probably little or no difference in adverse events when comparing adalimunab, certolizumab pegol or guselkumab versus placebo.</w:t>
      </w:r>
      <w:r w:rsidR="00125682" w:rsidRPr="00125682">
        <w:rPr>
          <w:rFonts w:ascii="Calibri Light" w:hAnsi="Calibri Light" w:cs="Calibri Light"/>
          <w:lang w:val="en-GB"/>
        </w:rPr>
        <w:t xml:space="preserve"> </w:t>
      </w:r>
    </w:p>
    <w:p w14:paraId="6A164AA1" w14:textId="77777777" w:rsidR="00125682" w:rsidRDefault="00125682" w:rsidP="00125682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 xml:space="preserve">Infliximab and secukinumab may make little or no difference. </w:t>
      </w:r>
    </w:p>
    <w:p w14:paraId="7439EE3B" w14:textId="77777777" w:rsidR="00186140" w:rsidRPr="00186140" w:rsidRDefault="00186140" w:rsidP="00AF42DF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 w:rsidRPr="00186140">
        <w:rPr>
          <w:rFonts w:ascii="Calibri Light" w:hAnsi="Calibri Light" w:cs="Calibri Light"/>
          <w:lang w:val="en-GB"/>
        </w:rPr>
        <w:t xml:space="preserve">Apremilast, ixekizumab may </w:t>
      </w:r>
      <w:r w:rsidR="00125682" w:rsidRPr="00125682">
        <w:rPr>
          <w:rFonts w:ascii="Calibri Light" w:hAnsi="Calibri Light" w:cs="Calibri Light"/>
          <w:color w:val="000000" w:themeColor="text1"/>
          <w:lang w:val="en-GB"/>
        </w:rPr>
        <w:t>increase the number of patients with adverse events</w:t>
      </w:r>
      <w:r w:rsidRPr="00125682">
        <w:rPr>
          <w:rFonts w:ascii="Calibri Light" w:hAnsi="Calibri Light" w:cs="Calibri Light"/>
          <w:color w:val="000000" w:themeColor="text1"/>
          <w:lang w:val="en-GB"/>
        </w:rPr>
        <w:t xml:space="preserve"> slightly</w:t>
      </w:r>
    </w:p>
    <w:p w14:paraId="6D755547" w14:textId="6E443143" w:rsidR="00441899" w:rsidRDefault="00441899" w:rsidP="00AF42DF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We are uncertain whether ustekinumab 90mg </w:t>
      </w:r>
      <w:r w:rsidR="00125682">
        <w:rPr>
          <w:rFonts w:ascii="Calibri Light" w:hAnsi="Calibri Light" w:cs="Calibri Light"/>
          <w:lang w:val="en-GB"/>
        </w:rPr>
        <w:t>effects</w:t>
      </w:r>
      <w:r>
        <w:rPr>
          <w:rFonts w:ascii="Calibri Light" w:hAnsi="Calibri Light" w:cs="Calibri Light"/>
          <w:lang w:val="en-GB"/>
        </w:rPr>
        <w:t xml:space="preserve"> the outcome</w:t>
      </w:r>
      <w:r w:rsidR="00641701">
        <w:rPr>
          <w:rFonts w:ascii="Calibri Light" w:hAnsi="Calibri Light" w:cs="Calibri Light"/>
          <w:lang w:val="en-GB"/>
        </w:rPr>
        <w:t>.</w:t>
      </w:r>
      <w:r>
        <w:rPr>
          <w:rFonts w:ascii="Calibri Light" w:hAnsi="Calibri Light" w:cs="Calibri Light"/>
          <w:lang w:val="en-GB"/>
        </w:rPr>
        <w:t xml:space="preserve"> </w:t>
      </w:r>
    </w:p>
    <w:p w14:paraId="49556AC5" w14:textId="3C097D70" w:rsidR="00441899" w:rsidRDefault="00E922C1" w:rsidP="00AF42DF">
      <w:pPr>
        <w:pStyle w:val="Listenabsatz"/>
        <w:numPr>
          <w:ilvl w:val="0"/>
          <w:numId w:val="1"/>
        </w:numPr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This outcome</w:t>
      </w:r>
      <w:r w:rsidR="00441899">
        <w:rPr>
          <w:rFonts w:ascii="Calibri Light" w:hAnsi="Calibri Light" w:cs="Calibri Light"/>
          <w:lang w:val="en-GB"/>
        </w:rPr>
        <w:t xml:space="preserve"> was not reported in the trials comparing etanercept, methotrexate and ustekinumab 45mg ver</w:t>
      </w:r>
      <w:r>
        <w:rPr>
          <w:rFonts w:ascii="Calibri Light" w:hAnsi="Calibri Light" w:cs="Calibri Light"/>
          <w:lang w:val="en-GB"/>
        </w:rPr>
        <w:t>s</w:t>
      </w:r>
      <w:r w:rsidR="00441899">
        <w:rPr>
          <w:rFonts w:ascii="Calibri Light" w:hAnsi="Calibri Light" w:cs="Calibri Light"/>
          <w:lang w:val="en-GB"/>
        </w:rPr>
        <w:t xml:space="preserve">us placebo. </w:t>
      </w:r>
    </w:p>
    <w:p w14:paraId="629A1195" w14:textId="77777777" w:rsidR="001E1A9E" w:rsidRPr="001E1A9E" w:rsidRDefault="001E1A9E" w:rsidP="001E1A9E">
      <w:pPr>
        <w:ind w:left="360"/>
        <w:rPr>
          <w:rFonts w:ascii="Calibri Light" w:hAnsi="Calibri Light" w:cs="Calibri Light"/>
          <w:i/>
          <w:lang w:val="en-GB"/>
        </w:rPr>
      </w:pPr>
      <w:r w:rsidRPr="001E1A9E">
        <w:rPr>
          <w:rFonts w:ascii="Calibri Light" w:hAnsi="Calibri Light" w:cs="Calibri Light"/>
          <w:i/>
          <w:lang w:val="en-GB"/>
        </w:rPr>
        <w:t>(The reporting of the results is worded in line with the recommendations of the Cochrane Consumers and Communication group, which take effect size and certainty of evidence into account.)</w:t>
      </w:r>
    </w:p>
    <w:p w14:paraId="2224EDF4" w14:textId="77777777" w:rsidR="001E1A9E" w:rsidRDefault="001E1A9E" w:rsidP="003D207A">
      <w:pPr>
        <w:rPr>
          <w:rFonts w:ascii="Calibri Light" w:hAnsi="Calibri Light" w:cs="Calibri Light"/>
          <w:b/>
          <w:lang w:val="en-GB"/>
        </w:rPr>
      </w:pPr>
    </w:p>
    <w:p w14:paraId="6CEDE9A5" w14:textId="662E8804" w:rsidR="003D207A" w:rsidRPr="00186140" w:rsidRDefault="003D207A" w:rsidP="003D207A">
      <w:pPr>
        <w:rPr>
          <w:rFonts w:ascii="Calibri Light" w:hAnsi="Calibri Light" w:cs="Calibri Light"/>
          <w:b/>
          <w:lang w:val="en-GB"/>
        </w:rPr>
      </w:pPr>
      <w:r w:rsidRPr="00186140">
        <w:rPr>
          <w:rFonts w:ascii="Calibri Light" w:hAnsi="Calibri Light" w:cs="Calibri Light"/>
          <w:b/>
          <w:lang w:val="en-GB"/>
        </w:rPr>
        <w:t>Key message</w:t>
      </w:r>
    </w:p>
    <w:p w14:paraId="7E295639" w14:textId="77777777" w:rsidR="00F9245E" w:rsidRDefault="00C5519F" w:rsidP="005A7C4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We included 27 trials on interventions licensed for psoriasis </w:t>
      </w:r>
      <w:r w:rsidR="00F9245E">
        <w:rPr>
          <w:rFonts w:ascii="Calibri Light" w:hAnsi="Calibri Light" w:cs="Calibri Light"/>
          <w:lang w:val="en-GB"/>
        </w:rPr>
        <w:t xml:space="preserve">vulgaris </w:t>
      </w:r>
      <w:r>
        <w:rPr>
          <w:rFonts w:ascii="Calibri Light" w:hAnsi="Calibri Light" w:cs="Calibri Light"/>
          <w:lang w:val="en-GB"/>
        </w:rPr>
        <w:t xml:space="preserve">and psoriatic arthritis. </w:t>
      </w:r>
      <w:r w:rsidR="003D207A" w:rsidRPr="00186140">
        <w:rPr>
          <w:rFonts w:ascii="Calibri Light" w:hAnsi="Calibri Light" w:cs="Calibri Light"/>
          <w:lang w:val="en-GB"/>
        </w:rPr>
        <w:t>A total of 12 placebo comparison are available, with a certainty of evidence from very low to high</w:t>
      </w:r>
      <w:r w:rsidR="000912E7">
        <w:rPr>
          <w:rFonts w:ascii="Calibri Light" w:hAnsi="Calibri Light" w:cs="Calibri Light"/>
          <w:lang w:val="en-GB"/>
        </w:rPr>
        <w:t>.</w:t>
      </w:r>
      <w:r w:rsidR="001C6D73" w:rsidRPr="001C6D73">
        <w:rPr>
          <w:rFonts w:ascii="Calibri Light" w:hAnsi="Calibri Light" w:cs="Calibri Light"/>
          <w:lang w:val="en-GB"/>
        </w:rPr>
        <w:t xml:space="preserve"> </w:t>
      </w:r>
      <w:r w:rsidR="001C6D73" w:rsidRPr="00186140">
        <w:rPr>
          <w:rFonts w:ascii="Calibri Light" w:hAnsi="Calibri Light" w:cs="Calibri Light"/>
          <w:lang w:val="en-GB"/>
        </w:rPr>
        <w:t>Only four head-to-head comparisons could be included – the certainty of evidence was very low to moderate.</w:t>
      </w:r>
      <w:r w:rsidR="001C6D73">
        <w:rPr>
          <w:rFonts w:ascii="Calibri Light" w:hAnsi="Calibri Light" w:cs="Calibri Light"/>
          <w:lang w:val="en-GB"/>
        </w:rPr>
        <w:t xml:space="preserve"> </w:t>
      </w:r>
    </w:p>
    <w:p w14:paraId="12DDCF82" w14:textId="77777777" w:rsidR="00F9245E" w:rsidRDefault="00F9245E" w:rsidP="005A7C4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val="en-GB"/>
        </w:rPr>
      </w:pPr>
    </w:p>
    <w:p w14:paraId="3E599711" w14:textId="7C824595" w:rsidR="0059314D" w:rsidRDefault="00C5519F" w:rsidP="00F3249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The evidence</w:t>
      </w:r>
      <w:r w:rsidR="005A7C48">
        <w:rPr>
          <w:rFonts w:ascii="Calibri Light" w:hAnsi="Calibri Light" w:cs="Calibri Light"/>
          <w:lang w:val="en-GB"/>
        </w:rPr>
        <w:t xml:space="preserve"> generally</w:t>
      </w:r>
      <w:r>
        <w:rPr>
          <w:rFonts w:ascii="Calibri Light" w:hAnsi="Calibri Light" w:cs="Calibri Light"/>
          <w:lang w:val="en-GB"/>
        </w:rPr>
        <w:t xml:space="preserve"> indicated that for ACR20</w:t>
      </w:r>
      <w:r w:rsidR="005A7C48">
        <w:rPr>
          <w:rFonts w:ascii="Calibri Light" w:hAnsi="Calibri Light" w:cs="Calibri Light"/>
          <w:lang w:val="en-GB"/>
        </w:rPr>
        <w:t xml:space="preserve"> the </w:t>
      </w:r>
      <w:r w:rsidR="00F9245E">
        <w:rPr>
          <w:rFonts w:ascii="Calibri Light" w:hAnsi="Calibri Light" w:cs="Calibri Light"/>
          <w:lang w:val="en-GB"/>
        </w:rPr>
        <w:t xml:space="preserve">bDMARDs and tsDMARDs have an </w:t>
      </w:r>
      <w:r w:rsidR="005A7C48">
        <w:rPr>
          <w:rFonts w:ascii="Calibri Light" w:hAnsi="Calibri Light" w:cs="Calibri Light"/>
          <w:lang w:val="en-GB"/>
        </w:rPr>
        <w:t xml:space="preserve">effect after a treatment period of 12 to 24 weeks. There are no or few concerns regarding the safety outcome. </w:t>
      </w:r>
    </w:p>
    <w:p w14:paraId="2CB45825" w14:textId="77777777" w:rsidR="00F32495" w:rsidRDefault="00F32495" w:rsidP="00F3249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lang w:val="en-GB"/>
        </w:rPr>
      </w:pPr>
    </w:p>
    <w:p w14:paraId="0E052BE3" w14:textId="77777777" w:rsidR="0059314D" w:rsidRPr="00186140" w:rsidRDefault="0059314D" w:rsidP="0059314D">
      <w:pPr>
        <w:rPr>
          <w:rFonts w:ascii="Calibri Light" w:hAnsi="Calibri Light" w:cs="Calibri Light"/>
          <w:b/>
          <w:lang w:val="en-GB"/>
        </w:rPr>
      </w:pPr>
      <w:r w:rsidRPr="00186140">
        <w:rPr>
          <w:rFonts w:ascii="Calibri Light" w:hAnsi="Calibri Light" w:cs="Calibri Light"/>
          <w:b/>
          <w:lang w:val="en-GB"/>
        </w:rPr>
        <w:t>How up-to-date is this review?</w:t>
      </w:r>
    </w:p>
    <w:p w14:paraId="77716C98" w14:textId="77777777" w:rsidR="005A7C48" w:rsidRDefault="00725490" w:rsidP="005A7C4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4</w:t>
      </w:r>
      <w:r w:rsidR="0059314D">
        <w:rPr>
          <w:rFonts w:ascii="Calibri Light" w:hAnsi="Calibri Light" w:cs="Calibri Light"/>
          <w:lang w:val="en-GB"/>
        </w:rPr>
        <w:t xml:space="preserve"> </w:t>
      </w:r>
      <w:r w:rsidR="00BA0C08">
        <w:rPr>
          <w:rFonts w:ascii="Calibri Light" w:hAnsi="Calibri Light" w:cs="Calibri Light"/>
          <w:lang w:val="en-GB"/>
        </w:rPr>
        <w:t>May</w:t>
      </w:r>
      <w:r w:rsidR="0059314D">
        <w:rPr>
          <w:rFonts w:ascii="Calibri Light" w:hAnsi="Calibri Light" w:cs="Calibri Light"/>
          <w:lang w:val="en-GB"/>
        </w:rPr>
        <w:t xml:space="preserve"> 2021</w:t>
      </w:r>
    </w:p>
    <w:p w14:paraId="555FE7D9" w14:textId="77777777" w:rsidR="004B06D5" w:rsidRDefault="004B06D5" w:rsidP="005A7C4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val="en-GB"/>
        </w:rPr>
      </w:pPr>
    </w:p>
    <w:p w14:paraId="5B4E4792" w14:textId="46FDD481" w:rsidR="003D207A" w:rsidRPr="00186140" w:rsidRDefault="003D207A" w:rsidP="003D207A">
      <w:pPr>
        <w:pStyle w:val="Beschriftung"/>
        <w:rPr>
          <w:rFonts w:ascii="Calibri Light" w:hAnsi="Calibri Light" w:cs="Calibri Light"/>
          <w:noProof/>
          <w:lang w:val="en-GB" w:eastAsia="en-GB"/>
        </w:rPr>
      </w:pPr>
      <w:bookmarkStart w:id="1" w:name="_Ref78788365"/>
      <w:r w:rsidRPr="00186140">
        <w:rPr>
          <w:rFonts w:ascii="Calibri Light" w:hAnsi="Calibri Light" w:cs="Calibri Light"/>
          <w:lang w:val="en-GB"/>
        </w:rPr>
        <w:t xml:space="preserve">Table </w:t>
      </w:r>
      <w:r w:rsidRPr="00186140">
        <w:rPr>
          <w:rFonts w:ascii="Calibri Light" w:hAnsi="Calibri Light" w:cs="Calibri Light"/>
          <w:lang w:val="en-GB"/>
        </w:rPr>
        <w:fldChar w:fldCharType="begin"/>
      </w:r>
      <w:r w:rsidRPr="00186140">
        <w:rPr>
          <w:rFonts w:ascii="Calibri Light" w:hAnsi="Calibri Light" w:cs="Calibri Light"/>
          <w:lang w:val="en-GB"/>
        </w:rPr>
        <w:instrText xml:space="preserve"> SEQ Table \* ARABIC </w:instrText>
      </w:r>
      <w:r w:rsidRPr="00186140">
        <w:rPr>
          <w:rFonts w:ascii="Calibri Light" w:hAnsi="Calibri Light" w:cs="Calibri Light"/>
          <w:lang w:val="en-GB"/>
        </w:rPr>
        <w:fldChar w:fldCharType="separate"/>
      </w:r>
      <w:r w:rsidRPr="00186140">
        <w:rPr>
          <w:rFonts w:ascii="Calibri Light" w:hAnsi="Calibri Light" w:cs="Calibri Light"/>
          <w:noProof/>
          <w:lang w:val="en-GB"/>
        </w:rPr>
        <w:t>1</w:t>
      </w:r>
      <w:r w:rsidRPr="00186140">
        <w:rPr>
          <w:rFonts w:ascii="Calibri Light" w:hAnsi="Calibri Light" w:cs="Calibri Light"/>
          <w:lang w:val="en-GB"/>
        </w:rPr>
        <w:fldChar w:fldCharType="end"/>
      </w:r>
      <w:bookmarkEnd w:id="1"/>
      <w:r w:rsidRPr="00186140">
        <w:rPr>
          <w:rFonts w:ascii="Calibri Light" w:hAnsi="Calibri Light" w:cs="Calibri Light"/>
          <w:lang w:val="en-GB"/>
        </w:rPr>
        <w:t>: Effect size and GRADE evaluation for ACR20 and adverse events</w:t>
      </w:r>
      <w:r w:rsidR="007A2FF9">
        <w:rPr>
          <w:rFonts w:ascii="Calibri Light" w:hAnsi="Calibri Light" w:cs="Calibri Light"/>
          <w:lang w:val="en-GB"/>
        </w:rPr>
        <w:t xml:space="preserve"> (blue – new study/data)</w:t>
      </w:r>
    </w:p>
    <w:p w14:paraId="1650CBFC" w14:textId="7A99B646" w:rsidR="003D207A" w:rsidRPr="00186140" w:rsidRDefault="007A2FF9" w:rsidP="003D207A">
      <w:pPr>
        <w:rPr>
          <w:rFonts w:ascii="Calibri Light" w:hAnsi="Calibri Light" w:cs="Calibri Light"/>
          <w:sz w:val="16"/>
          <w:lang w:val="en-GB"/>
        </w:rPr>
      </w:pPr>
      <w:r w:rsidRPr="007A2FF9">
        <w:rPr>
          <w:noProof/>
          <w:lang w:eastAsia="de-DE"/>
        </w:rPr>
        <w:drawing>
          <wp:inline distT="0" distB="0" distL="0" distR="0" wp14:anchorId="67073197" wp14:editId="2737A7E8">
            <wp:extent cx="6645910" cy="7430543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3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80E" w:rsidRPr="00A5795B">
        <w:rPr>
          <w:lang w:val="en-US"/>
        </w:rPr>
        <w:t xml:space="preserve"> </w:t>
      </w:r>
      <w:r w:rsidR="003D207A" w:rsidRPr="00186140">
        <w:rPr>
          <w:rFonts w:ascii="Calibri Light" w:hAnsi="Calibri Light" w:cs="Calibri Light"/>
          <w:sz w:val="16"/>
          <w:lang w:val="en-GB"/>
        </w:rPr>
        <w:t>Abbreviations: ACR20 = 20% improvement in American College of Rheumatology response criteria; RR = risk ratio; 95% CI = 95% confidence interval; ETA = Etanercept; MTX = Methotrexate; mg = milligrams; QW= once a week; INF = Infliximab; kg = kilograms IXE = Ixekizumab; ADA = Adalimumab; Q2W = once every 2 weeks; EOW = every other week; PBO = placebo; APR = Apremilast; BID = twice a day; CZP = Certolizumab Pegol; Q4W = once every 4 weeks; BIW = twice a week; W = week; Sec = Secukinumab; LD = loading dose; UST = Ustekinumab; Q12W = every 12 weeks.</w:t>
      </w:r>
    </w:p>
    <w:p w14:paraId="34AE4648" w14:textId="77777777" w:rsidR="003D207A" w:rsidRPr="00186140" w:rsidRDefault="004C2F1D" w:rsidP="003D207A">
      <w:pPr>
        <w:spacing w:after="0"/>
        <w:rPr>
          <w:rFonts w:ascii="Calibri Light" w:hAnsi="Calibri Light" w:cs="Calibri Light"/>
          <w:sz w:val="16"/>
          <w:lang w:val="en-GB"/>
        </w:rPr>
      </w:pPr>
      <w:r>
        <w:rPr>
          <w:rFonts w:ascii="Calibri Light" w:hAnsi="Calibri Light" w:cs="Calibri Light"/>
          <w:sz w:val="16"/>
          <w:lang w:val="en-GB"/>
        </w:rPr>
        <w:t xml:space="preserve">1 </w:t>
      </w:r>
      <w:r w:rsidR="003D207A" w:rsidRPr="00186140">
        <w:rPr>
          <w:rFonts w:ascii="Calibri Light" w:hAnsi="Calibri Light" w:cs="Calibri Light"/>
          <w:sz w:val="16"/>
          <w:lang w:val="en-GB"/>
        </w:rPr>
        <w:t xml:space="preserve"> 80mg LD only for pts. with moderate-to-severe PsO</w:t>
      </w:r>
    </w:p>
    <w:p w14:paraId="1CCB19CA" w14:textId="77777777" w:rsidR="003D207A" w:rsidRPr="00186140" w:rsidRDefault="004C2F1D" w:rsidP="003D207A">
      <w:pPr>
        <w:spacing w:after="0"/>
        <w:rPr>
          <w:rFonts w:ascii="Calibri Light" w:hAnsi="Calibri Light" w:cs="Calibri Light"/>
          <w:sz w:val="16"/>
          <w:lang w:val="en-GB"/>
        </w:rPr>
      </w:pPr>
      <w:r>
        <w:rPr>
          <w:rFonts w:ascii="Calibri Light" w:hAnsi="Calibri Light" w:cs="Calibri Light"/>
          <w:sz w:val="16"/>
          <w:lang w:val="en-GB"/>
        </w:rPr>
        <w:t>2- N</w:t>
      </w:r>
      <w:r w:rsidR="003D207A" w:rsidRPr="00186140">
        <w:rPr>
          <w:rFonts w:ascii="Calibri Light" w:hAnsi="Calibri Light" w:cs="Calibri Light"/>
          <w:sz w:val="16"/>
          <w:lang w:val="en-GB"/>
        </w:rPr>
        <w:t>o LD of 80mg (this would be the case for PsO)</w:t>
      </w:r>
    </w:p>
    <w:p w14:paraId="36A927DC" w14:textId="77777777" w:rsidR="003D207A" w:rsidRPr="00186140" w:rsidRDefault="003D207A" w:rsidP="003D207A">
      <w:pPr>
        <w:spacing w:after="0"/>
        <w:rPr>
          <w:rFonts w:ascii="Calibri Light" w:hAnsi="Calibri Light" w:cs="Calibri Light"/>
          <w:sz w:val="16"/>
          <w:lang w:val="en-GB"/>
        </w:rPr>
      </w:pPr>
      <w:r w:rsidRPr="00186140">
        <w:rPr>
          <w:rFonts w:ascii="Calibri Light" w:hAnsi="Calibri Light" w:cs="Calibri Light"/>
          <w:sz w:val="16"/>
          <w:lang w:val="en-GB"/>
        </w:rPr>
        <w:t>3- for psoriasis vulgaris, 400mg Q2W can also be considered</w:t>
      </w:r>
    </w:p>
    <w:p w14:paraId="126AF5B9" w14:textId="77777777" w:rsidR="003D207A" w:rsidRPr="00186140" w:rsidRDefault="004C2F1D" w:rsidP="003D207A">
      <w:pPr>
        <w:spacing w:after="0"/>
        <w:rPr>
          <w:rFonts w:ascii="Calibri Light" w:hAnsi="Calibri Light" w:cs="Calibri Light"/>
          <w:sz w:val="16"/>
          <w:lang w:val="en-GB"/>
        </w:rPr>
      </w:pPr>
      <w:r>
        <w:rPr>
          <w:rFonts w:ascii="Calibri Light" w:hAnsi="Calibri Light" w:cs="Calibri Light"/>
          <w:sz w:val="16"/>
          <w:lang w:val="en-GB"/>
        </w:rPr>
        <w:t>4 -</w:t>
      </w:r>
      <w:r w:rsidR="003D207A" w:rsidRPr="00186140">
        <w:rPr>
          <w:rFonts w:ascii="Calibri Light" w:hAnsi="Calibri Light" w:cs="Calibri Light"/>
          <w:sz w:val="16"/>
          <w:lang w:val="en-GB"/>
        </w:rPr>
        <w:t xml:space="preserve">For patients at high risk for joint damage according to clinical judgement, a dose of 100 mg every 4 weeks may be considered (SMPc) </w:t>
      </w:r>
    </w:p>
    <w:p w14:paraId="2C6162AB" w14:textId="77777777" w:rsidR="003D207A" w:rsidRPr="00186140" w:rsidRDefault="004C2F1D" w:rsidP="003D207A">
      <w:pPr>
        <w:spacing w:after="0"/>
        <w:rPr>
          <w:rFonts w:ascii="Calibri Light" w:hAnsi="Calibri Light" w:cs="Calibri Light"/>
          <w:sz w:val="16"/>
          <w:lang w:val="en-GB"/>
        </w:rPr>
      </w:pPr>
      <w:r>
        <w:rPr>
          <w:rFonts w:ascii="Calibri Light" w:hAnsi="Calibri Light" w:cs="Calibri Light"/>
          <w:sz w:val="16"/>
          <w:lang w:val="en-GB"/>
        </w:rPr>
        <w:t>5- F</w:t>
      </w:r>
      <w:r w:rsidR="003D207A" w:rsidRPr="00186140">
        <w:rPr>
          <w:rFonts w:ascii="Calibri Light" w:hAnsi="Calibri Light" w:cs="Calibri Light"/>
          <w:sz w:val="16"/>
          <w:lang w:val="en-GB"/>
        </w:rPr>
        <w:t>or Pso patient with &gt;=100kg (dosis not licensed for PsA)</w:t>
      </w:r>
    </w:p>
    <w:p w14:paraId="0A70105A" w14:textId="2A6490B1" w:rsidR="003D207A" w:rsidRPr="00A5795B" w:rsidRDefault="00A5795B" w:rsidP="00A5795B">
      <w:pPr>
        <w:spacing w:after="0"/>
        <w:rPr>
          <w:rFonts w:ascii="Calibri Light" w:hAnsi="Calibri Light" w:cs="Calibri Light"/>
          <w:sz w:val="16"/>
          <w:lang w:val="en-GB"/>
        </w:rPr>
      </w:pPr>
      <w:r>
        <w:rPr>
          <w:rFonts w:ascii="Calibri Light" w:hAnsi="Calibri Light" w:cs="Calibri Light"/>
          <w:sz w:val="16"/>
          <w:lang w:val="en-GB"/>
        </w:rPr>
        <w:t>*treatment emergent adverse events</w:t>
      </w:r>
    </w:p>
    <w:p w14:paraId="08300A37" w14:textId="77777777" w:rsidR="003D207A" w:rsidRPr="00186140" w:rsidRDefault="003D207A">
      <w:pPr>
        <w:rPr>
          <w:rFonts w:ascii="Calibri Light" w:hAnsi="Calibri Light" w:cs="Calibri Light"/>
          <w:lang w:val="en-GB"/>
        </w:rPr>
      </w:pPr>
    </w:p>
    <w:sectPr w:rsidR="003D207A" w:rsidRPr="00186140" w:rsidSect="003D207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A2D8D" w14:textId="77777777" w:rsidR="00906A61" w:rsidRDefault="00ED591B">
      <w:pPr>
        <w:spacing w:after="0" w:line="240" w:lineRule="auto"/>
      </w:pPr>
      <w:r>
        <w:separator/>
      </w:r>
    </w:p>
  </w:endnote>
  <w:endnote w:type="continuationSeparator" w:id="0">
    <w:p w14:paraId="1A728067" w14:textId="77777777" w:rsidR="00906A61" w:rsidRDefault="00ED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154771"/>
      <w:docPartObj>
        <w:docPartGallery w:val="Page Numbers (Bottom of Page)"/>
        <w:docPartUnique/>
      </w:docPartObj>
    </w:sdtPr>
    <w:sdtEndPr/>
    <w:sdtContent>
      <w:p w14:paraId="6E417834" w14:textId="7BF06AD2" w:rsidR="005708EF" w:rsidRDefault="0059314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9E">
          <w:rPr>
            <w:noProof/>
          </w:rPr>
          <w:t>2</w:t>
        </w:r>
        <w:r>
          <w:fldChar w:fldCharType="end"/>
        </w:r>
      </w:p>
    </w:sdtContent>
  </w:sdt>
  <w:p w14:paraId="60AD67BD" w14:textId="77777777" w:rsidR="005708EF" w:rsidRDefault="001E1A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3FA9D" w14:textId="77777777" w:rsidR="00906A61" w:rsidRDefault="00ED591B">
      <w:pPr>
        <w:spacing w:after="0" w:line="240" w:lineRule="auto"/>
      </w:pPr>
      <w:r>
        <w:separator/>
      </w:r>
    </w:p>
  </w:footnote>
  <w:footnote w:type="continuationSeparator" w:id="0">
    <w:p w14:paraId="608A14CE" w14:textId="77777777" w:rsidR="00906A61" w:rsidRDefault="00ED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4923"/>
    <w:multiLevelType w:val="hybridMultilevel"/>
    <w:tmpl w:val="43125F4E"/>
    <w:lvl w:ilvl="0" w:tplc="00ECA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5A05"/>
    <w:multiLevelType w:val="hybridMultilevel"/>
    <w:tmpl w:val="BF8C185A"/>
    <w:lvl w:ilvl="0" w:tplc="3258A7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44"/>
    <w:rsid w:val="000141CA"/>
    <w:rsid w:val="000912E7"/>
    <w:rsid w:val="000A24A1"/>
    <w:rsid w:val="00125682"/>
    <w:rsid w:val="00186140"/>
    <w:rsid w:val="001A495C"/>
    <w:rsid w:val="001C6D73"/>
    <w:rsid w:val="001E0F9F"/>
    <w:rsid w:val="001E1A9E"/>
    <w:rsid w:val="00235656"/>
    <w:rsid w:val="002C56D9"/>
    <w:rsid w:val="002F19F2"/>
    <w:rsid w:val="003100DA"/>
    <w:rsid w:val="00377A53"/>
    <w:rsid w:val="003C2F4B"/>
    <w:rsid w:val="003D207A"/>
    <w:rsid w:val="003D6E63"/>
    <w:rsid w:val="003F105D"/>
    <w:rsid w:val="00441899"/>
    <w:rsid w:val="004B06D5"/>
    <w:rsid w:val="004C2F1D"/>
    <w:rsid w:val="0054469D"/>
    <w:rsid w:val="00561FEA"/>
    <w:rsid w:val="0059314D"/>
    <w:rsid w:val="005A7C48"/>
    <w:rsid w:val="00610AAE"/>
    <w:rsid w:val="00641701"/>
    <w:rsid w:val="006C400A"/>
    <w:rsid w:val="00725490"/>
    <w:rsid w:val="00736859"/>
    <w:rsid w:val="007605D7"/>
    <w:rsid w:val="007A2FF9"/>
    <w:rsid w:val="007A3356"/>
    <w:rsid w:val="007E215E"/>
    <w:rsid w:val="007F2AB6"/>
    <w:rsid w:val="008466D2"/>
    <w:rsid w:val="008652BB"/>
    <w:rsid w:val="008973C7"/>
    <w:rsid w:val="00906A61"/>
    <w:rsid w:val="00923FB3"/>
    <w:rsid w:val="00A47998"/>
    <w:rsid w:val="00A5795B"/>
    <w:rsid w:val="00AF42DF"/>
    <w:rsid w:val="00B04A9A"/>
    <w:rsid w:val="00B54D96"/>
    <w:rsid w:val="00B57842"/>
    <w:rsid w:val="00BA0C08"/>
    <w:rsid w:val="00C15714"/>
    <w:rsid w:val="00C20816"/>
    <w:rsid w:val="00C2747E"/>
    <w:rsid w:val="00C5519F"/>
    <w:rsid w:val="00C61066"/>
    <w:rsid w:val="00C93D44"/>
    <w:rsid w:val="00C97697"/>
    <w:rsid w:val="00D0637D"/>
    <w:rsid w:val="00D2780E"/>
    <w:rsid w:val="00DB6B35"/>
    <w:rsid w:val="00DE6EEE"/>
    <w:rsid w:val="00E11125"/>
    <w:rsid w:val="00E922C1"/>
    <w:rsid w:val="00ED591B"/>
    <w:rsid w:val="00F31D4A"/>
    <w:rsid w:val="00F32495"/>
    <w:rsid w:val="00F9245E"/>
    <w:rsid w:val="00FB0601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660"/>
  <w15:chartTrackingRefBased/>
  <w15:docId w15:val="{9F003F69-BECF-4CFE-8483-F9FF1EC0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3D20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D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07A"/>
  </w:style>
  <w:style w:type="paragraph" w:styleId="Listenabsatz">
    <w:name w:val="List Paragraph"/>
    <w:basedOn w:val="Standard"/>
    <w:uiPriority w:val="34"/>
    <w:qFormat/>
    <w:rsid w:val="00FB781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141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41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41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41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41C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1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76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Charite - Universitaetsmedizin Berlin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Dressler, Corinna</dc:creator>
  <cp:keywords/>
  <dc:description/>
  <cp:lastModifiedBy>Nast, Alexander</cp:lastModifiedBy>
  <cp:revision>6</cp:revision>
  <dcterms:created xsi:type="dcterms:W3CDTF">2021-08-11T13:39:00Z</dcterms:created>
  <dcterms:modified xsi:type="dcterms:W3CDTF">2021-08-12T08:40:00Z</dcterms:modified>
</cp:coreProperties>
</file>