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B753" w14:textId="507A699D" w:rsidR="00E166D0" w:rsidRDefault="00E166D0" w:rsidP="009820FB">
      <w:pPr>
        <w:pStyle w:val="berschrift3"/>
        <w:jc w:val="both"/>
        <w:rPr>
          <w:rFonts w:asciiTheme="minorHAnsi" w:hAnsiTheme="minorHAnsi"/>
          <w:lang w:val="en-US"/>
        </w:rPr>
      </w:pPr>
      <w:r w:rsidRPr="009820FB">
        <w:rPr>
          <w:rFonts w:asciiTheme="minorHAnsi" w:hAnsiTheme="minorHAnsi"/>
          <w:lang w:val="en-US"/>
        </w:rPr>
        <w:t xml:space="preserve">Summary </w:t>
      </w:r>
    </w:p>
    <w:p w14:paraId="431BC17F" w14:textId="77777777" w:rsidR="00BF4600" w:rsidRPr="00DE257A" w:rsidRDefault="00BF4600" w:rsidP="00BF4600">
      <w:pPr>
        <w:pStyle w:val="berschrift3"/>
        <w:rPr>
          <w:rFonts w:asciiTheme="majorHAnsi" w:hAnsiTheme="majorHAnsi" w:cstheme="majorHAnsi"/>
          <w:lang w:val="en-US"/>
        </w:rPr>
      </w:pPr>
      <w:r w:rsidRPr="00DE257A">
        <w:rPr>
          <w:rFonts w:asciiTheme="majorHAnsi" w:hAnsiTheme="majorHAnsi" w:cstheme="majorHAnsi"/>
          <w:lang w:val="en-US"/>
        </w:rPr>
        <w:t>Authors: M. Kinberger, R. Jakubzyk</w:t>
      </w:r>
    </w:p>
    <w:p w14:paraId="64CFAC19" w14:textId="460D436F" w:rsidR="00343B76" w:rsidRPr="00BF4600" w:rsidRDefault="00BF4600" w:rsidP="00BF4600">
      <w:pPr>
        <w:rPr>
          <w:color w:val="0070C0"/>
          <w:lang w:val="en-US"/>
        </w:rPr>
      </w:pPr>
      <w:r w:rsidRPr="00DE257A">
        <w:rPr>
          <w:rFonts w:asciiTheme="majorHAnsi" w:hAnsiTheme="majorHAnsi" w:cstheme="majorHAnsi"/>
          <w:lang w:val="en-US"/>
        </w:rPr>
        <w:t>Update 1 – August 2021</w:t>
      </w:r>
      <w:r>
        <w:rPr>
          <w:rFonts w:asciiTheme="majorHAnsi" w:hAnsiTheme="majorHAnsi" w:cstheme="majorHAnsi"/>
          <w:lang w:val="en-US"/>
        </w:rPr>
        <w:t xml:space="preserve"> (</w:t>
      </w:r>
      <w:r>
        <w:rPr>
          <w:color w:val="0070C0"/>
          <w:lang w:val="en-US"/>
        </w:rPr>
        <w:t>blue = new study or additional</w:t>
      </w:r>
      <w:r w:rsidRPr="007E215E">
        <w:rPr>
          <w:color w:val="0070C0"/>
          <w:lang w:val="en-US"/>
        </w:rPr>
        <w:t xml:space="preserve"> data</w:t>
      </w:r>
      <w:r>
        <w:rPr>
          <w:color w:val="0070C0"/>
          <w:lang w:val="en-US"/>
        </w:rPr>
        <w:t>)</w:t>
      </w:r>
    </w:p>
    <w:p w14:paraId="234AC199" w14:textId="025DD561" w:rsidR="00274F95" w:rsidRPr="009820FB" w:rsidRDefault="00274F95" w:rsidP="009820FB">
      <w:pPr>
        <w:jc w:val="both"/>
        <w:rPr>
          <w:rFonts w:cstheme="minorHAnsi"/>
          <w:b/>
          <w:lang w:val="en-US"/>
        </w:rPr>
      </w:pPr>
      <w:r w:rsidRPr="009820FB">
        <w:rPr>
          <w:rFonts w:cstheme="minorHAnsi"/>
          <w:b/>
          <w:lang w:val="en-US"/>
        </w:rPr>
        <w:t>What was the aim of this systematic review?</w:t>
      </w:r>
    </w:p>
    <w:p w14:paraId="77A80407" w14:textId="77777777" w:rsidR="0030693D" w:rsidRPr="004112D2" w:rsidRDefault="00E166D0" w:rsidP="009820FB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de-DE"/>
        </w:rPr>
      </w:pPr>
      <w:r w:rsidRPr="004112D2">
        <w:rPr>
          <w:rFonts w:asciiTheme="majorHAnsi" w:eastAsia="Times New Roman" w:hAnsiTheme="majorHAnsi" w:cstheme="majorHAnsi"/>
          <w:lang w:val="en-US" w:eastAsia="de-DE"/>
        </w:rPr>
        <w:t xml:space="preserve">The aim of this review update was </w:t>
      </w:r>
      <w:proofErr w:type="gramStart"/>
      <w:r w:rsidRPr="004112D2">
        <w:rPr>
          <w:rFonts w:asciiTheme="majorHAnsi" w:eastAsia="Times New Roman" w:hAnsiTheme="majorHAnsi" w:cstheme="majorHAnsi"/>
          <w:lang w:val="en-US" w:eastAsia="de-DE"/>
        </w:rPr>
        <w:t>to continuously inform</w:t>
      </w:r>
      <w:proofErr w:type="gramEnd"/>
      <w:r w:rsidRPr="004112D2">
        <w:rPr>
          <w:rFonts w:asciiTheme="majorHAnsi" w:eastAsia="Times New Roman" w:hAnsiTheme="majorHAnsi" w:cstheme="majorHAnsi"/>
          <w:lang w:val="en-US" w:eastAsia="de-DE"/>
        </w:rPr>
        <w:t xml:space="preserve"> the guideline development group of new evidence on patients with </w:t>
      </w:r>
      <w:r w:rsidRPr="004112D2">
        <w:rPr>
          <w:rFonts w:asciiTheme="majorHAnsi" w:eastAsia="Times New Roman" w:hAnsiTheme="majorHAnsi" w:cstheme="majorHAnsi"/>
          <w:b/>
          <w:lang w:val="en-US" w:eastAsia="de-DE"/>
        </w:rPr>
        <w:t xml:space="preserve">psoriasis vulgaris and coexisting </w:t>
      </w:r>
      <w:r w:rsidR="00095D93" w:rsidRPr="004112D2">
        <w:rPr>
          <w:rFonts w:asciiTheme="majorHAnsi" w:eastAsia="Times New Roman" w:hAnsiTheme="majorHAnsi" w:cstheme="majorHAnsi"/>
          <w:b/>
          <w:lang w:val="en-US" w:eastAsia="de-DE"/>
        </w:rPr>
        <w:t>viral hepatitis</w:t>
      </w:r>
      <w:r w:rsidRPr="004112D2">
        <w:rPr>
          <w:rFonts w:asciiTheme="majorHAnsi" w:eastAsia="Times New Roman" w:hAnsiTheme="majorHAnsi" w:cstheme="majorHAnsi"/>
          <w:b/>
          <w:lang w:val="en-US" w:eastAsia="de-DE"/>
        </w:rPr>
        <w:t>.</w:t>
      </w:r>
      <w:r w:rsidRPr="004112D2">
        <w:rPr>
          <w:rFonts w:asciiTheme="majorHAnsi" w:eastAsia="Times New Roman" w:hAnsiTheme="majorHAnsi" w:cstheme="majorHAnsi"/>
          <w:lang w:val="en-US" w:eastAsia="de-DE"/>
        </w:rPr>
        <w:t xml:space="preserve"> </w:t>
      </w:r>
    </w:p>
    <w:p w14:paraId="05F1BF30" w14:textId="6535518D" w:rsidR="008C16F7" w:rsidRPr="004112D2" w:rsidRDefault="00D53548" w:rsidP="009820FB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eastAsia="Times New Roman" w:hAnsiTheme="majorHAnsi" w:cstheme="majorHAnsi"/>
          <w:lang w:val="en-US" w:eastAsia="de-DE"/>
        </w:rPr>
        <w:t xml:space="preserve">Many </w:t>
      </w:r>
      <w:r w:rsidR="0030693D" w:rsidRPr="004112D2">
        <w:rPr>
          <w:rFonts w:asciiTheme="majorHAnsi" w:hAnsiTheme="majorHAnsi" w:cstheme="majorHAnsi"/>
          <w:lang w:val="en-GB"/>
        </w:rPr>
        <w:t xml:space="preserve">systemic psoriasis treatments modulate immune functions and can reactivate hepatitis, and </w:t>
      </w:r>
      <w:proofErr w:type="gramStart"/>
      <w:r w:rsidR="0030693D" w:rsidRPr="004112D2">
        <w:rPr>
          <w:rFonts w:asciiTheme="majorHAnsi" w:hAnsiTheme="majorHAnsi" w:cstheme="majorHAnsi"/>
          <w:lang w:val="en-GB"/>
        </w:rPr>
        <w:t>are known</w:t>
      </w:r>
      <w:proofErr w:type="gramEnd"/>
      <w:r w:rsidR="0030693D" w:rsidRPr="004112D2">
        <w:rPr>
          <w:rFonts w:asciiTheme="majorHAnsi" w:hAnsiTheme="majorHAnsi" w:cstheme="majorHAnsi"/>
          <w:lang w:val="en-GB"/>
        </w:rPr>
        <w:t xml:space="preserve"> to cause liver injury</w:t>
      </w:r>
      <w:r w:rsidR="008C16F7" w:rsidRPr="004112D2">
        <w:rPr>
          <w:rFonts w:asciiTheme="majorHAnsi" w:hAnsiTheme="majorHAnsi" w:cstheme="majorHAnsi"/>
          <w:lang w:val="en-US"/>
        </w:rPr>
        <w:t>.</w:t>
      </w:r>
      <w:r w:rsidR="0030693D" w:rsidRPr="004112D2">
        <w:rPr>
          <w:rFonts w:asciiTheme="majorHAnsi" w:hAnsiTheme="majorHAnsi" w:cstheme="majorHAnsi"/>
          <w:lang w:val="en-US"/>
        </w:rPr>
        <w:t xml:space="preserve"> However, patients with severe psoriasis and viral hepatitis still need systemic treatment.</w:t>
      </w:r>
      <w:r w:rsidR="008C16F7" w:rsidRPr="004112D2">
        <w:rPr>
          <w:rFonts w:asciiTheme="majorHAnsi" w:hAnsiTheme="majorHAnsi" w:cstheme="majorHAnsi"/>
          <w:lang w:val="en-US"/>
        </w:rPr>
        <w:t xml:space="preserve"> In this systematic </w:t>
      </w:r>
      <w:proofErr w:type="gramStart"/>
      <w:r w:rsidR="008C16F7" w:rsidRPr="004112D2">
        <w:rPr>
          <w:rFonts w:asciiTheme="majorHAnsi" w:hAnsiTheme="majorHAnsi" w:cstheme="majorHAnsi"/>
          <w:lang w:val="en-US"/>
        </w:rPr>
        <w:t>review</w:t>
      </w:r>
      <w:proofErr w:type="gramEnd"/>
      <w:r w:rsidR="008C16F7" w:rsidRPr="004112D2">
        <w:rPr>
          <w:rFonts w:asciiTheme="majorHAnsi" w:hAnsiTheme="majorHAnsi" w:cstheme="majorHAnsi"/>
          <w:lang w:val="en-US"/>
        </w:rPr>
        <w:t xml:space="preserve"> we investigated </w:t>
      </w:r>
      <w:r w:rsidR="00095D93" w:rsidRPr="004112D2">
        <w:rPr>
          <w:rFonts w:asciiTheme="majorHAnsi" w:hAnsiTheme="majorHAnsi" w:cstheme="majorHAnsi"/>
          <w:lang w:val="en-US"/>
        </w:rPr>
        <w:t xml:space="preserve">the safety </w:t>
      </w:r>
      <w:r w:rsidR="0030693D" w:rsidRPr="004112D2">
        <w:rPr>
          <w:rFonts w:asciiTheme="majorHAnsi" w:hAnsiTheme="majorHAnsi" w:cstheme="majorHAnsi"/>
          <w:lang w:val="en-US"/>
        </w:rPr>
        <w:t xml:space="preserve">and efficacy </w:t>
      </w:r>
      <w:r w:rsidR="00095D93" w:rsidRPr="004112D2">
        <w:rPr>
          <w:rFonts w:asciiTheme="majorHAnsi" w:hAnsiTheme="majorHAnsi" w:cstheme="majorHAnsi"/>
          <w:lang w:val="en-US"/>
        </w:rPr>
        <w:t>of systemic psoriasis treatment options for patients with concomitant</w:t>
      </w:r>
      <w:r w:rsidRPr="004112D2">
        <w:rPr>
          <w:rFonts w:asciiTheme="majorHAnsi" w:hAnsiTheme="majorHAnsi" w:cstheme="majorHAnsi"/>
          <w:lang w:val="en-US"/>
        </w:rPr>
        <w:t xml:space="preserve"> viral</w:t>
      </w:r>
      <w:r w:rsidR="00095D93" w:rsidRPr="004112D2">
        <w:rPr>
          <w:rFonts w:asciiTheme="majorHAnsi" w:hAnsiTheme="majorHAnsi" w:cstheme="majorHAnsi"/>
          <w:lang w:val="en-US"/>
        </w:rPr>
        <w:t xml:space="preserve"> hepatitis</w:t>
      </w:r>
      <w:r w:rsidR="008C16F7" w:rsidRPr="004112D2">
        <w:rPr>
          <w:rFonts w:asciiTheme="majorHAnsi" w:hAnsiTheme="majorHAnsi" w:cstheme="majorHAnsi"/>
          <w:lang w:val="en-US"/>
        </w:rPr>
        <w:t>.</w:t>
      </w:r>
    </w:p>
    <w:p w14:paraId="67BBA479" w14:textId="77777777" w:rsidR="0030693D" w:rsidRPr="004112D2" w:rsidRDefault="0030693D" w:rsidP="009820FB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de-DE"/>
        </w:rPr>
      </w:pPr>
    </w:p>
    <w:p w14:paraId="268E8C00" w14:textId="740074B6" w:rsidR="00E166D0" w:rsidRPr="009820FB" w:rsidRDefault="00E166D0" w:rsidP="009820FB">
      <w:pPr>
        <w:jc w:val="both"/>
        <w:rPr>
          <w:b/>
          <w:lang w:val="en-US"/>
        </w:rPr>
      </w:pPr>
      <w:r w:rsidRPr="009820FB">
        <w:rPr>
          <w:b/>
          <w:lang w:val="en-US"/>
        </w:rPr>
        <w:t>What did we do?</w:t>
      </w:r>
    </w:p>
    <w:p w14:paraId="2640352F" w14:textId="2FFB418D" w:rsidR="007F374A" w:rsidRPr="004112D2" w:rsidRDefault="00BD2043" w:rsidP="009820FB">
      <w:pPr>
        <w:jc w:val="both"/>
        <w:rPr>
          <w:rFonts w:asciiTheme="majorHAnsi" w:hAnsiTheme="majorHAnsi" w:cstheme="majorHAnsi"/>
          <w:lang w:val="en-GB"/>
        </w:rPr>
      </w:pPr>
      <w:r w:rsidRPr="004112D2">
        <w:rPr>
          <w:rFonts w:asciiTheme="majorHAnsi" w:hAnsiTheme="majorHAnsi" w:cstheme="majorHAnsi"/>
          <w:lang w:val="en-US"/>
        </w:rPr>
        <w:t>Two</w:t>
      </w:r>
      <w:r w:rsidRPr="004112D2">
        <w:rPr>
          <w:rFonts w:asciiTheme="majorHAnsi" w:hAnsiTheme="majorHAnsi" w:cstheme="majorHAnsi"/>
          <w:lang w:val="en-GB"/>
        </w:rPr>
        <w:t xml:space="preserve"> databases </w:t>
      </w:r>
      <w:proofErr w:type="gramStart"/>
      <w:r w:rsidRPr="004112D2">
        <w:rPr>
          <w:rFonts w:asciiTheme="majorHAnsi" w:hAnsiTheme="majorHAnsi" w:cstheme="majorHAnsi"/>
          <w:lang w:val="en-GB"/>
        </w:rPr>
        <w:t>were searched</w:t>
      </w:r>
      <w:proofErr w:type="gramEnd"/>
      <w:r w:rsidRPr="004112D2">
        <w:rPr>
          <w:rFonts w:asciiTheme="majorHAnsi" w:hAnsiTheme="majorHAnsi" w:cstheme="majorHAnsi"/>
          <w:lang w:val="en-GB"/>
        </w:rPr>
        <w:t xml:space="preserve"> systemat</w:t>
      </w:r>
      <w:r w:rsidR="00E166D0" w:rsidRPr="004112D2">
        <w:rPr>
          <w:rFonts w:asciiTheme="majorHAnsi" w:hAnsiTheme="majorHAnsi" w:cstheme="majorHAnsi"/>
          <w:lang w:val="en-GB"/>
        </w:rPr>
        <w:t xml:space="preserve">ically. We only included studies with patients treated with systemic psoriasis therapies who also had </w:t>
      </w:r>
      <w:r w:rsidR="0030693D" w:rsidRPr="004112D2">
        <w:rPr>
          <w:rFonts w:asciiTheme="majorHAnsi" w:hAnsiTheme="majorHAnsi" w:cstheme="majorHAnsi"/>
          <w:lang w:val="en-GB"/>
        </w:rPr>
        <w:t>viral hepatitis</w:t>
      </w:r>
      <w:r w:rsidR="00DB3F9E" w:rsidRPr="004112D2">
        <w:rPr>
          <w:rFonts w:asciiTheme="majorHAnsi" w:hAnsiTheme="majorHAnsi" w:cstheme="majorHAnsi"/>
          <w:lang w:val="en-GB"/>
        </w:rPr>
        <w:t xml:space="preserve"> B or C</w:t>
      </w:r>
      <w:r w:rsidR="00E166D0" w:rsidRPr="004112D2">
        <w:rPr>
          <w:rFonts w:asciiTheme="majorHAnsi" w:hAnsiTheme="majorHAnsi" w:cstheme="majorHAnsi"/>
          <w:lang w:val="en-GB"/>
        </w:rPr>
        <w:t xml:space="preserve">. </w:t>
      </w:r>
      <w:r w:rsidR="0094187D" w:rsidRPr="004112D2">
        <w:rPr>
          <w:rFonts w:asciiTheme="majorHAnsi" w:hAnsiTheme="majorHAnsi" w:cstheme="majorHAnsi"/>
          <w:lang w:val="en-GB"/>
        </w:rPr>
        <w:t xml:space="preserve">We assigned Levels of Evidence for all studies included using the </w:t>
      </w:r>
      <w:proofErr w:type="spellStart"/>
      <w:r w:rsidR="0094187D" w:rsidRPr="004112D2">
        <w:rPr>
          <w:rFonts w:asciiTheme="majorHAnsi" w:hAnsiTheme="majorHAnsi" w:cstheme="majorHAnsi"/>
          <w:lang w:val="en-GB"/>
        </w:rPr>
        <w:t>Center</w:t>
      </w:r>
      <w:proofErr w:type="spellEnd"/>
      <w:r w:rsidR="0094187D" w:rsidRPr="004112D2">
        <w:rPr>
          <w:rFonts w:asciiTheme="majorHAnsi" w:hAnsiTheme="majorHAnsi" w:cstheme="majorHAnsi"/>
          <w:lang w:val="en-GB"/>
        </w:rPr>
        <w:t xml:space="preserve"> of Evidence Based Medicine Oxford recommendations and </w:t>
      </w:r>
      <w:proofErr w:type="spellStart"/>
      <w:r w:rsidR="0094187D" w:rsidRPr="004112D2">
        <w:rPr>
          <w:rFonts w:asciiTheme="majorHAnsi" w:hAnsiTheme="majorHAnsi" w:cstheme="majorHAnsi"/>
          <w:lang w:val="en-GB"/>
        </w:rPr>
        <w:t>RoB</w:t>
      </w:r>
      <w:proofErr w:type="spellEnd"/>
      <w:r w:rsidR="0094187D" w:rsidRPr="004112D2">
        <w:rPr>
          <w:rFonts w:asciiTheme="majorHAnsi" w:hAnsiTheme="majorHAnsi" w:cstheme="majorHAnsi"/>
          <w:lang w:val="en-GB"/>
        </w:rPr>
        <w:t xml:space="preserve"> 2.0 tool for the randomized trials.</w:t>
      </w:r>
      <w:r w:rsidR="00E166D0" w:rsidRPr="004112D2">
        <w:rPr>
          <w:rFonts w:asciiTheme="majorHAnsi" w:hAnsiTheme="majorHAnsi" w:cstheme="majorHAnsi"/>
          <w:lang w:val="en-GB"/>
        </w:rPr>
        <w:t xml:space="preserve"> For details, see Methods Report. </w:t>
      </w:r>
    </w:p>
    <w:p w14:paraId="08450E04" w14:textId="77777777" w:rsidR="005961E7" w:rsidRPr="009820FB" w:rsidRDefault="005961E7" w:rsidP="009820FB">
      <w:pPr>
        <w:jc w:val="both"/>
        <w:rPr>
          <w:b/>
          <w:lang w:val="en-US"/>
        </w:rPr>
      </w:pPr>
      <w:r w:rsidRPr="009820FB">
        <w:rPr>
          <w:b/>
          <w:lang w:val="en-US"/>
        </w:rPr>
        <w:t>What are the main results of the review?</w:t>
      </w:r>
    </w:p>
    <w:p w14:paraId="5C375CEF" w14:textId="60052577" w:rsidR="00AB771D" w:rsidRPr="004112D2" w:rsidRDefault="007F374A" w:rsidP="009820FB">
      <w:p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 xml:space="preserve">We found </w:t>
      </w:r>
      <w:r w:rsidR="0054164C" w:rsidRPr="004112D2">
        <w:rPr>
          <w:rFonts w:asciiTheme="majorHAnsi" w:hAnsiTheme="majorHAnsi" w:cstheme="majorHAnsi"/>
          <w:lang w:val="en-US"/>
        </w:rPr>
        <w:t>3</w:t>
      </w:r>
      <w:r w:rsidRPr="004112D2">
        <w:rPr>
          <w:rFonts w:asciiTheme="majorHAnsi" w:hAnsiTheme="majorHAnsi" w:cstheme="majorHAnsi"/>
          <w:lang w:val="en-US"/>
        </w:rPr>
        <w:t xml:space="preserve"> prospective studies</w:t>
      </w:r>
      <w:r w:rsidR="0054164C" w:rsidRPr="004112D2">
        <w:rPr>
          <w:rFonts w:asciiTheme="majorHAnsi" w:hAnsiTheme="majorHAnsi" w:cstheme="majorHAnsi"/>
          <w:lang w:val="en-US"/>
        </w:rPr>
        <w:t>, 2</w:t>
      </w:r>
      <w:r w:rsidRPr="004112D2">
        <w:rPr>
          <w:rFonts w:asciiTheme="majorHAnsi" w:hAnsiTheme="majorHAnsi" w:cstheme="majorHAnsi"/>
          <w:lang w:val="en-US"/>
        </w:rPr>
        <w:t xml:space="preserve"> register study and </w:t>
      </w:r>
      <w:r w:rsidR="0054164C" w:rsidRPr="004112D2">
        <w:rPr>
          <w:rFonts w:asciiTheme="majorHAnsi" w:hAnsiTheme="majorHAnsi" w:cstheme="majorHAnsi"/>
          <w:lang w:val="en-US"/>
        </w:rPr>
        <w:t>2</w:t>
      </w:r>
      <w:r w:rsidR="00E06C9F" w:rsidRPr="004112D2">
        <w:rPr>
          <w:rFonts w:asciiTheme="majorHAnsi" w:hAnsiTheme="majorHAnsi" w:cstheme="majorHAnsi"/>
          <w:lang w:val="en-US"/>
        </w:rPr>
        <w:t>3</w:t>
      </w:r>
      <w:r w:rsidRPr="004112D2">
        <w:rPr>
          <w:rFonts w:asciiTheme="majorHAnsi" w:hAnsiTheme="majorHAnsi" w:cstheme="majorHAnsi"/>
          <w:lang w:val="en-US"/>
        </w:rPr>
        <w:t xml:space="preserve"> retros</w:t>
      </w:r>
      <w:r w:rsidR="0094187D" w:rsidRPr="004112D2">
        <w:rPr>
          <w:rFonts w:asciiTheme="majorHAnsi" w:hAnsiTheme="majorHAnsi" w:cstheme="majorHAnsi"/>
          <w:lang w:val="en-US"/>
        </w:rPr>
        <w:t>pective studies w</w:t>
      </w:r>
      <w:r w:rsidRPr="004112D2">
        <w:rPr>
          <w:rFonts w:asciiTheme="majorHAnsi" w:hAnsiTheme="majorHAnsi" w:cstheme="majorHAnsi"/>
          <w:lang w:val="en-US"/>
        </w:rPr>
        <w:t xml:space="preserve">ith </w:t>
      </w:r>
      <w:r w:rsidR="0054164C" w:rsidRPr="004112D2">
        <w:rPr>
          <w:rFonts w:asciiTheme="majorHAnsi" w:hAnsiTheme="majorHAnsi" w:cstheme="majorHAnsi"/>
          <w:lang w:val="en-US"/>
        </w:rPr>
        <w:t>12</w:t>
      </w:r>
      <w:r w:rsidR="00D60571">
        <w:rPr>
          <w:rFonts w:asciiTheme="majorHAnsi" w:hAnsiTheme="majorHAnsi" w:cstheme="majorHAnsi"/>
          <w:lang w:val="en-US"/>
        </w:rPr>
        <w:t>30</w:t>
      </w:r>
      <w:r w:rsidRPr="004112D2">
        <w:rPr>
          <w:rFonts w:asciiTheme="majorHAnsi" w:hAnsiTheme="majorHAnsi" w:cstheme="majorHAnsi"/>
          <w:lang w:val="en-US"/>
        </w:rPr>
        <w:t xml:space="preserve"> patients with p</w:t>
      </w:r>
      <w:r w:rsidR="008F636B" w:rsidRPr="004112D2">
        <w:rPr>
          <w:rFonts w:asciiTheme="majorHAnsi" w:hAnsiTheme="majorHAnsi" w:cstheme="majorHAnsi"/>
          <w:lang w:val="en-US"/>
        </w:rPr>
        <w:t xml:space="preserve">soriasis </w:t>
      </w:r>
      <w:r w:rsidR="00E06C9F" w:rsidRPr="004112D2">
        <w:rPr>
          <w:rFonts w:asciiTheme="majorHAnsi" w:hAnsiTheme="majorHAnsi" w:cstheme="majorHAnsi"/>
          <w:lang w:val="en-US"/>
        </w:rPr>
        <w:t xml:space="preserve">vulgaris </w:t>
      </w:r>
      <w:r w:rsidR="008F636B" w:rsidRPr="004112D2">
        <w:rPr>
          <w:rFonts w:asciiTheme="majorHAnsi" w:hAnsiTheme="majorHAnsi" w:cstheme="majorHAnsi"/>
          <w:lang w:val="en-US"/>
        </w:rPr>
        <w:t xml:space="preserve">and </w:t>
      </w:r>
      <w:r w:rsidR="0054164C" w:rsidRPr="004112D2">
        <w:rPr>
          <w:rFonts w:asciiTheme="majorHAnsi" w:hAnsiTheme="majorHAnsi" w:cstheme="majorHAnsi"/>
          <w:lang w:val="en-US"/>
        </w:rPr>
        <w:t>coexisting viral hepatitis (hepatitis B n=9</w:t>
      </w:r>
      <w:r w:rsidR="000F1DBD">
        <w:rPr>
          <w:rFonts w:asciiTheme="majorHAnsi" w:hAnsiTheme="majorHAnsi" w:cstheme="majorHAnsi"/>
          <w:lang w:val="en-US"/>
        </w:rPr>
        <w:t>30</w:t>
      </w:r>
      <w:r w:rsidR="0054164C" w:rsidRPr="004112D2">
        <w:rPr>
          <w:rFonts w:asciiTheme="majorHAnsi" w:hAnsiTheme="majorHAnsi" w:cstheme="majorHAnsi"/>
          <w:lang w:val="en-US"/>
        </w:rPr>
        <w:t>; hepatitis C n=300)</w:t>
      </w:r>
      <w:r w:rsidR="008F636B" w:rsidRPr="004112D2">
        <w:rPr>
          <w:rFonts w:asciiTheme="majorHAnsi" w:hAnsiTheme="majorHAnsi" w:cstheme="majorHAnsi"/>
          <w:lang w:val="en-US"/>
        </w:rPr>
        <w:t>.</w:t>
      </w:r>
      <w:r w:rsidR="00E0528F" w:rsidRPr="004112D2">
        <w:rPr>
          <w:rFonts w:asciiTheme="majorHAnsi" w:hAnsiTheme="majorHAnsi" w:cstheme="majorHAnsi"/>
          <w:lang w:val="en-US"/>
        </w:rPr>
        <w:t xml:space="preserve"> </w:t>
      </w:r>
    </w:p>
    <w:p w14:paraId="59ADEC8A" w14:textId="77777777" w:rsidR="0054164C" w:rsidRPr="009820FB" w:rsidRDefault="0054164C" w:rsidP="009820FB">
      <w:pPr>
        <w:jc w:val="both"/>
        <w:rPr>
          <w:u w:val="single"/>
          <w:lang w:val="en-US"/>
        </w:rPr>
      </w:pPr>
      <w:r w:rsidRPr="009820FB">
        <w:rPr>
          <w:u w:val="single"/>
          <w:lang w:val="en-US"/>
        </w:rPr>
        <w:t>Hepatitis B</w:t>
      </w:r>
    </w:p>
    <w:p w14:paraId="7BEF5B0F" w14:textId="7A983589" w:rsidR="0054164C" w:rsidRPr="004112D2" w:rsidRDefault="0054164C" w:rsidP="009820FB">
      <w:pPr>
        <w:pStyle w:val="Listenabsatz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Prospective data</w:t>
      </w:r>
    </w:p>
    <w:p w14:paraId="6D0179D7" w14:textId="79588E27" w:rsidR="00631288" w:rsidRPr="004112D2" w:rsidRDefault="00631288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 xml:space="preserve">In </w:t>
      </w:r>
      <w:r w:rsidR="00A21949" w:rsidRPr="004112D2">
        <w:rPr>
          <w:rFonts w:asciiTheme="majorHAnsi" w:hAnsiTheme="majorHAnsi" w:cstheme="majorHAnsi"/>
          <w:lang w:val="en-US"/>
        </w:rPr>
        <w:t xml:space="preserve">a </w:t>
      </w:r>
      <w:r w:rsidRPr="004112D2">
        <w:rPr>
          <w:rFonts w:asciiTheme="majorHAnsi" w:hAnsiTheme="majorHAnsi" w:cstheme="majorHAnsi"/>
          <w:lang w:val="en-US"/>
        </w:rPr>
        <w:t>study by Chiu et al. 49 patients with psoriasis and</w:t>
      </w:r>
      <w:r w:rsidR="0024024D" w:rsidRPr="004112D2">
        <w:rPr>
          <w:rFonts w:asciiTheme="majorHAnsi" w:hAnsiTheme="majorHAnsi" w:cstheme="majorHAnsi"/>
          <w:lang w:val="en-US"/>
        </w:rPr>
        <w:t xml:space="preserve"> hepatitis B </w:t>
      </w:r>
      <w:proofErr w:type="gramStart"/>
      <w:r w:rsidR="0024024D" w:rsidRPr="004112D2">
        <w:rPr>
          <w:rFonts w:asciiTheme="majorHAnsi" w:hAnsiTheme="majorHAnsi" w:cstheme="majorHAnsi"/>
          <w:lang w:val="en-US"/>
        </w:rPr>
        <w:t>were treated</w:t>
      </w:r>
      <w:proofErr w:type="gramEnd"/>
      <w:r w:rsidR="0024024D" w:rsidRPr="004112D2">
        <w:rPr>
          <w:rFonts w:asciiTheme="majorHAnsi" w:hAnsiTheme="majorHAnsi" w:cstheme="majorHAnsi"/>
          <w:lang w:val="en-US"/>
        </w:rPr>
        <w:t xml:space="preserve"> with </w:t>
      </w:r>
      <w:proofErr w:type="spellStart"/>
      <w:r w:rsidR="0024024D" w:rsidRPr="004112D2">
        <w:rPr>
          <w:rFonts w:asciiTheme="majorHAnsi" w:hAnsiTheme="majorHAnsi" w:cstheme="majorHAnsi"/>
          <w:lang w:val="en-US"/>
        </w:rPr>
        <w:t>s</w:t>
      </w:r>
      <w:r w:rsidRPr="004112D2">
        <w:rPr>
          <w:rFonts w:asciiTheme="majorHAnsi" w:hAnsiTheme="majorHAnsi" w:cstheme="majorHAnsi"/>
          <w:lang w:val="en-US"/>
        </w:rPr>
        <w:t>ecukinumab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. A reactivation of hepatitis B was </w:t>
      </w:r>
      <w:r w:rsidR="00DB3F9E" w:rsidRPr="004112D2">
        <w:rPr>
          <w:rFonts w:asciiTheme="majorHAnsi" w:hAnsiTheme="majorHAnsi" w:cstheme="majorHAnsi"/>
          <w:lang w:val="en-US"/>
        </w:rPr>
        <w:t xml:space="preserve">reported </w:t>
      </w:r>
      <w:r w:rsidRPr="004112D2">
        <w:rPr>
          <w:rFonts w:asciiTheme="majorHAnsi" w:hAnsiTheme="majorHAnsi" w:cstheme="majorHAnsi"/>
          <w:lang w:val="en-US"/>
        </w:rPr>
        <w:t xml:space="preserve">in </w:t>
      </w:r>
      <w:proofErr w:type="gramStart"/>
      <w:r w:rsidRPr="004112D2">
        <w:rPr>
          <w:rFonts w:asciiTheme="majorHAnsi" w:hAnsiTheme="majorHAnsi" w:cstheme="majorHAnsi"/>
          <w:lang w:val="en-US"/>
        </w:rPr>
        <w:t>7</w:t>
      </w:r>
      <w:proofErr w:type="gramEnd"/>
      <w:r w:rsidRPr="004112D2">
        <w:rPr>
          <w:rFonts w:asciiTheme="majorHAnsi" w:hAnsiTheme="majorHAnsi" w:cstheme="majorHAnsi"/>
          <w:lang w:val="en-US"/>
        </w:rPr>
        <w:t xml:space="preserve"> of 49 (</w:t>
      </w:r>
      <w:r w:rsidR="007366EA" w:rsidRPr="004112D2">
        <w:rPr>
          <w:rFonts w:asciiTheme="majorHAnsi" w:hAnsiTheme="majorHAnsi" w:cstheme="majorHAnsi"/>
          <w:lang w:val="en-US"/>
        </w:rPr>
        <w:t>14.3</w:t>
      </w:r>
      <w:r w:rsidRPr="004112D2">
        <w:rPr>
          <w:rFonts w:asciiTheme="majorHAnsi" w:hAnsiTheme="majorHAnsi" w:cstheme="majorHAnsi"/>
          <w:lang w:val="en-US"/>
        </w:rPr>
        <w:t>%)</w:t>
      </w:r>
      <w:r w:rsidR="00DB3F9E" w:rsidRPr="004112D2">
        <w:rPr>
          <w:rFonts w:asciiTheme="majorHAnsi" w:hAnsiTheme="majorHAnsi" w:cstheme="majorHAnsi"/>
          <w:lang w:val="en-US"/>
        </w:rPr>
        <w:t xml:space="preserve"> patients (</w:t>
      </w:r>
      <w:r w:rsidRPr="004112D2">
        <w:rPr>
          <w:rFonts w:asciiTheme="majorHAnsi" w:hAnsiTheme="majorHAnsi" w:cstheme="majorHAnsi"/>
          <w:lang w:val="en-US"/>
        </w:rPr>
        <w:t>risk of bias</w:t>
      </w:r>
      <w:r w:rsidR="00DB3F9E" w:rsidRPr="004112D2">
        <w:rPr>
          <w:rFonts w:asciiTheme="majorHAnsi" w:hAnsiTheme="majorHAnsi" w:cstheme="majorHAnsi"/>
          <w:lang w:val="en-US"/>
        </w:rPr>
        <w:t xml:space="preserve"> high</w:t>
      </w:r>
      <w:r w:rsidRPr="004112D2">
        <w:rPr>
          <w:rFonts w:asciiTheme="majorHAnsi" w:hAnsiTheme="majorHAnsi" w:cstheme="majorHAnsi"/>
          <w:lang w:val="en-US"/>
        </w:rPr>
        <w:t>)</w:t>
      </w:r>
      <w:r w:rsidR="00DB3F9E" w:rsidRPr="004112D2">
        <w:rPr>
          <w:rFonts w:asciiTheme="majorHAnsi" w:hAnsiTheme="majorHAnsi" w:cstheme="majorHAnsi"/>
          <w:lang w:val="en-US"/>
        </w:rPr>
        <w:t>.</w:t>
      </w:r>
    </w:p>
    <w:p w14:paraId="3C4AB69D" w14:textId="46B134BF" w:rsidR="0054164C" w:rsidRPr="004112D2" w:rsidRDefault="00542F38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I</w:t>
      </w:r>
      <w:r w:rsidRPr="004112D2">
        <w:rPr>
          <w:rFonts w:asciiTheme="majorHAnsi" w:hAnsiTheme="majorHAnsi" w:cstheme="majorHAnsi"/>
          <w:lang w:val="en-US"/>
        </w:rPr>
        <w:t xml:space="preserve">n a cohort </w:t>
      </w:r>
      <w:proofErr w:type="gramStart"/>
      <w:r w:rsidRPr="004112D2">
        <w:rPr>
          <w:rFonts w:asciiTheme="majorHAnsi" w:hAnsiTheme="majorHAnsi" w:cstheme="majorHAnsi"/>
          <w:lang w:val="en-US"/>
        </w:rPr>
        <w:t>study</w:t>
      </w:r>
      <w:proofErr w:type="gramEnd"/>
      <w:r w:rsidRPr="004112D2">
        <w:rPr>
          <w:rFonts w:asciiTheme="majorHAnsi" w:hAnsiTheme="majorHAnsi" w:cstheme="majorHAnsi"/>
          <w:lang w:val="en-US"/>
        </w:rPr>
        <w:t xml:space="preserve"> </w:t>
      </w:r>
      <w:r w:rsidR="00DB3F9E" w:rsidRPr="004112D2">
        <w:rPr>
          <w:rFonts w:asciiTheme="majorHAnsi" w:hAnsiTheme="majorHAnsi" w:cstheme="majorHAnsi"/>
          <w:lang w:val="en-US"/>
        </w:rPr>
        <w:t xml:space="preserve">Ting et al. </w:t>
      </w:r>
      <w:r w:rsidR="00631288" w:rsidRPr="004112D2">
        <w:rPr>
          <w:rFonts w:asciiTheme="majorHAnsi" w:hAnsiTheme="majorHAnsi" w:cstheme="majorHAnsi"/>
          <w:lang w:val="en-US"/>
        </w:rPr>
        <w:t>reported</w:t>
      </w:r>
      <w:r w:rsidR="00A21949" w:rsidRPr="004112D2">
        <w:rPr>
          <w:rFonts w:asciiTheme="majorHAnsi" w:hAnsiTheme="majorHAnsi" w:cstheme="majorHAnsi"/>
          <w:lang w:val="en-US"/>
        </w:rPr>
        <w:t xml:space="preserve"> </w:t>
      </w:r>
      <w:r w:rsidR="00631288" w:rsidRPr="004112D2">
        <w:rPr>
          <w:rFonts w:asciiTheme="majorHAnsi" w:hAnsiTheme="majorHAnsi" w:cstheme="majorHAnsi"/>
          <w:lang w:val="en-US"/>
        </w:rPr>
        <w:t xml:space="preserve">hepatitis B reactivation in 3 of </w:t>
      </w:r>
      <w:r w:rsidR="00E87726" w:rsidRPr="004112D2">
        <w:rPr>
          <w:rFonts w:asciiTheme="majorHAnsi" w:hAnsiTheme="majorHAnsi" w:cstheme="majorHAnsi"/>
          <w:lang w:val="en-US"/>
        </w:rPr>
        <w:t>48</w:t>
      </w:r>
      <w:r w:rsidR="00631288" w:rsidRPr="004112D2">
        <w:rPr>
          <w:rFonts w:asciiTheme="majorHAnsi" w:hAnsiTheme="majorHAnsi" w:cstheme="majorHAnsi"/>
          <w:lang w:val="en-US"/>
        </w:rPr>
        <w:t xml:space="preserve"> </w:t>
      </w:r>
      <w:r w:rsidR="00E87726" w:rsidRPr="004112D2">
        <w:rPr>
          <w:rFonts w:asciiTheme="majorHAnsi" w:hAnsiTheme="majorHAnsi" w:cstheme="majorHAnsi"/>
          <w:lang w:val="en-US"/>
        </w:rPr>
        <w:t>(6.3</w:t>
      </w:r>
      <w:r w:rsidR="00A21949" w:rsidRPr="004112D2">
        <w:rPr>
          <w:rFonts w:asciiTheme="majorHAnsi" w:hAnsiTheme="majorHAnsi" w:cstheme="majorHAnsi"/>
          <w:lang w:val="en-US"/>
        </w:rPr>
        <w:t xml:space="preserve">%) </w:t>
      </w:r>
      <w:r w:rsidR="00631288" w:rsidRPr="004112D2">
        <w:rPr>
          <w:rFonts w:asciiTheme="majorHAnsi" w:hAnsiTheme="majorHAnsi" w:cstheme="majorHAnsi"/>
          <w:lang w:val="en-US"/>
        </w:rPr>
        <w:t>patients</w:t>
      </w:r>
      <w:r w:rsidR="00A21949" w:rsidRPr="004112D2">
        <w:rPr>
          <w:rFonts w:asciiTheme="majorHAnsi" w:hAnsiTheme="majorHAnsi" w:cstheme="majorHAnsi"/>
          <w:lang w:val="en-US"/>
        </w:rPr>
        <w:t xml:space="preserve"> </w:t>
      </w:r>
      <w:r w:rsidR="00E87726" w:rsidRPr="00BF4600">
        <w:rPr>
          <w:rFonts w:asciiTheme="majorHAnsi" w:hAnsiTheme="majorHAnsi" w:cstheme="majorHAnsi"/>
          <w:lang w:val="en-US"/>
        </w:rPr>
        <w:t>with isolated anti-</w:t>
      </w:r>
      <w:proofErr w:type="spellStart"/>
      <w:r w:rsidR="00E87726" w:rsidRPr="00BF4600">
        <w:rPr>
          <w:rFonts w:asciiTheme="majorHAnsi" w:hAnsiTheme="majorHAnsi" w:cstheme="majorHAnsi"/>
          <w:lang w:val="en-US"/>
        </w:rPr>
        <w:t>HBc</w:t>
      </w:r>
      <w:proofErr w:type="spellEnd"/>
      <w:r w:rsidR="00E87726" w:rsidRPr="00BF4600">
        <w:rPr>
          <w:rFonts w:asciiTheme="majorHAnsi" w:hAnsiTheme="majorHAnsi" w:cstheme="majorHAnsi"/>
          <w:lang w:val="en-US"/>
        </w:rPr>
        <w:t xml:space="preserve"> or resolved HBV infection</w:t>
      </w:r>
      <w:r w:rsidR="00E87726" w:rsidRPr="004112D2">
        <w:rPr>
          <w:rFonts w:asciiTheme="majorHAnsi" w:hAnsiTheme="majorHAnsi" w:cstheme="majorHAnsi"/>
          <w:lang w:val="en-US"/>
        </w:rPr>
        <w:t xml:space="preserve"> </w:t>
      </w:r>
      <w:r w:rsidR="00631288" w:rsidRPr="004112D2">
        <w:rPr>
          <w:rFonts w:asciiTheme="majorHAnsi" w:hAnsiTheme="majorHAnsi" w:cstheme="majorHAnsi"/>
          <w:lang w:val="en-US"/>
        </w:rPr>
        <w:t xml:space="preserve">treated with </w:t>
      </w:r>
      <w:proofErr w:type="spellStart"/>
      <w:r w:rsidR="007366EA" w:rsidRPr="004112D2">
        <w:rPr>
          <w:rFonts w:asciiTheme="majorHAnsi" w:hAnsiTheme="majorHAnsi" w:cstheme="majorHAnsi"/>
          <w:lang w:val="en-US"/>
        </w:rPr>
        <w:t>ustekinumab</w:t>
      </w:r>
      <w:proofErr w:type="spellEnd"/>
      <w:r w:rsidR="000145A6">
        <w:rPr>
          <w:rFonts w:asciiTheme="majorHAnsi" w:hAnsiTheme="majorHAnsi" w:cstheme="majorHAnsi"/>
          <w:lang w:val="en-US"/>
        </w:rPr>
        <w:t xml:space="preserve"> (</w:t>
      </w:r>
      <w:r w:rsidR="00A545BA">
        <w:rPr>
          <w:rFonts w:asciiTheme="majorHAnsi" w:hAnsiTheme="majorHAnsi" w:cstheme="majorHAnsi"/>
          <w:lang w:val="en-US"/>
        </w:rPr>
        <w:t>Oxford Level of E</w:t>
      </w:r>
      <w:r w:rsidR="000145A6">
        <w:rPr>
          <w:rFonts w:asciiTheme="majorHAnsi" w:hAnsiTheme="majorHAnsi" w:cstheme="majorHAnsi"/>
          <w:lang w:val="en-US"/>
        </w:rPr>
        <w:t>vidence 3)</w:t>
      </w:r>
      <w:r w:rsidR="007366EA" w:rsidRPr="004112D2">
        <w:rPr>
          <w:rFonts w:asciiTheme="majorHAnsi" w:hAnsiTheme="majorHAnsi" w:cstheme="majorHAnsi"/>
          <w:lang w:val="en-US"/>
        </w:rPr>
        <w:t>.</w:t>
      </w:r>
    </w:p>
    <w:p w14:paraId="4DEA17C3" w14:textId="7DD21EFE" w:rsidR="0054164C" w:rsidRPr="004112D2" w:rsidRDefault="0000175B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 xml:space="preserve">Al </w:t>
      </w:r>
      <w:proofErr w:type="spellStart"/>
      <w:r w:rsidRPr="004112D2">
        <w:rPr>
          <w:rFonts w:asciiTheme="majorHAnsi" w:hAnsiTheme="majorHAnsi" w:cstheme="majorHAnsi"/>
          <w:lang w:val="en-US"/>
        </w:rPr>
        <w:t>Mutairi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 and </w:t>
      </w:r>
      <w:proofErr w:type="spellStart"/>
      <w:r w:rsidRPr="004112D2">
        <w:rPr>
          <w:rFonts w:asciiTheme="majorHAnsi" w:hAnsiTheme="majorHAnsi" w:cstheme="majorHAnsi"/>
          <w:lang w:val="en-US"/>
        </w:rPr>
        <w:t>Abouzaid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 reported that of 32 patients treated with biologics (ADA, ETA, UST), none </w:t>
      </w:r>
      <w:r w:rsidR="002E34A6" w:rsidRPr="004112D2">
        <w:rPr>
          <w:rFonts w:asciiTheme="majorHAnsi" w:hAnsiTheme="majorHAnsi" w:cstheme="majorHAnsi"/>
          <w:lang w:val="en-US"/>
        </w:rPr>
        <w:t>suffered</w:t>
      </w:r>
      <w:r w:rsidRPr="004112D2">
        <w:rPr>
          <w:rFonts w:asciiTheme="majorHAnsi" w:hAnsiTheme="majorHAnsi" w:cstheme="majorHAnsi"/>
          <w:lang w:val="en-US"/>
        </w:rPr>
        <w:t xml:space="preserve"> from hepatitis reactivation, an increase in transaminases or viral load</w:t>
      </w:r>
      <w:r w:rsidR="009109CB" w:rsidRPr="004112D2">
        <w:rPr>
          <w:rFonts w:asciiTheme="majorHAnsi" w:hAnsiTheme="majorHAnsi" w:cstheme="majorHAnsi"/>
          <w:lang w:val="en-US"/>
        </w:rPr>
        <w:t xml:space="preserve">. A PASI75 response </w:t>
      </w:r>
      <w:proofErr w:type="gramStart"/>
      <w:r w:rsidR="009109CB" w:rsidRPr="004112D2">
        <w:rPr>
          <w:rFonts w:asciiTheme="majorHAnsi" w:hAnsiTheme="majorHAnsi" w:cstheme="majorHAnsi"/>
          <w:lang w:val="en-US"/>
        </w:rPr>
        <w:t>was reported</w:t>
      </w:r>
      <w:proofErr w:type="gramEnd"/>
      <w:r w:rsidR="009109CB" w:rsidRPr="004112D2">
        <w:rPr>
          <w:rFonts w:asciiTheme="majorHAnsi" w:hAnsiTheme="majorHAnsi" w:cstheme="majorHAnsi"/>
          <w:lang w:val="en-US"/>
        </w:rPr>
        <w:t xml:space="preserve"> in all 32 patients</w:t>
      </w:r>
      <w:r w:rsidRPr="004112D2">
        <w:rPr>
          <w:rFonts w:asciiTheme="majorHAnsi" w:hAnsiTheme="majorHAnsi" w:cstheme="majorHAnsi"/>
          <w:lang w:val="en-US"/>
        </w:rPr>
        <w:t xml:space="preserve"> (risk of bias high). </w:t>
      </w:r>
    </w:p>
    <w:p w14:paraId="40E563F3" w14:textId="1B676864" w:rsidR="0000175B" w:rsidRPr="004112D2" w:rsidRDefault="0000175B" w:rsidP="009820FB">
      <w:pPr>
        <w:pStyle w:val="Listenabsatz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Retrospective data</w:t>
      </w:r>
    </w:p>
    <w:p w14:paraId="691C7EEB" w14:textId="3016633B" w:rsidR="000764BC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spellStart"/>
      <w:r w:rsidRPr="004112D2">
        <w:rPr>
          <w:rFonts w:asciiTheme="majorHAnsi" w:hAnsiTheme="majorHAnsi" w:cstheme="majorHAnsi"/>
          <w:lang w:val="en-US"/>
        </w:rPr>
        <w:t>Acitritin</w:t>
      </w:r>
      <w:proofErr w:type="spellEnd"/>
    </w:p>
    <w:p w14:paraId="65E9A293" w14:textId="627DE248" w:rsidR="000764BC" w:rsidRPr="008627EF" w:rsidRDefault="000764BC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spellStart"/>
      <w:r w:rsidRPr="008627EF">
        <w:rPr>
          <w:rFonts w:asciiTheme="majorHAnsi" w:hAnsiTheme="majorHAnsi" w:cstheme="majorHAnsi"/>
          <w:color w:val="0070C0"/>
          <w:lang w:val="en-US"/>
        </w:rPr>
        <w:t>Chularojanamontri</w:t>
      </w:r>
      <w:proofErr w:type="spellEnd"/>
      <w:r w:rsidRPr="008627EF">
        <w:rPr>
          <w:rFonts w:asciiTheme="majorHAnsi" w:hAnsiTheme="majorHAnsi" w:cstheme="majorHAnsi"/>
          <w:color w:val="0070C0"/>
          <w:lang w:val="en-US"/>
        </w:rPr>
        <w:t xml:space="preserve"> et al</w:t>
      </w:r>
      <w:r w:rsidR="00B60A85" w:rsidRPr="008627EF">
        <w:rPr>
          <w:rFonts w:asciiTheme="majorHAnsi" w:hAnsiTheme="majorHAnsi" w:cstheme="majorHAnsi"/>
          <w:color w:val="0070C0"/>
          <w:lang w:val="en-US"/>
        </w:rPr>
        <w:t>.</w:t>
      </w:r>
      <w:r w:rsidRPr="008627EF">
        <w:rPr>
          <w:rFonts w:asciiTheme="majorHAnsi" w:hAnsiTheme="majorHAnsi" w:cstheme="majorHAnsi"/>
          <w:color w:val="0070C0"/>
          <w:lang w:val="en-US"/>
        </w:rPr>
        <w:t xml:space="preserve"> reported </w:t>
      </w:r>
      <w:r w:rsidR="006B0094" w:rsidRPr="008627EF">
        <w:rPr>
          <w:rFonts w:asciiTheme="majorHAnsi" w:hAnsiTheme="majorHAnsi" w:cstheme="majorHAnsi"/>
          <w:color w:val="0070C0"/>
          <w:lang w:val="en-US"/>
        </w:rPr>
        <w:t>that vira</w:t>
      </w:r>
      <w:r w:rsidR="00A21949" w:rsidRPr="008627EF">
        <w:rPr>
          <w:rFonts w:asciiTheme="majorHAnsi" w:hAnsiTheme="majorHAnsi" w:cstheme="majorHAnsi"/>
          <w:color w:val="0070C0"/>
          <w:lang w:val="en-US"/>
        </w:rPr>
        <w:t xml:space="preserve">l reactivation did not occur in </w:t>
      </w:r>
      <w:proofErr w:type="gramStart"/>
      <w:r w:rsidR="006B0094" w:rsidRPr="008627EF">
        <w:rPr>
          <w:rFonts w:asciiTheme="majorHAnsi" w:hAnsiTheme="majorHAnsi" w:cstheme="majorHAnsi"/>
          <w:color w:val="0070C0"/>
          <w:lang w:val="en-US"/>
        </w:rPr>
        <w:t>9</w:t>
      </w:r>
      <w:proofErr w:type="gramEnd"/>
      <w:r w:rsidR="006B0094" w:rsidRPr="008627EF">
        <w:rPr>
          <w:rFonts w:asciiTheme="majorHAnsi" w:hAnsiTheme="majorHAnsi" w:cstheme="majorHAnsi"/>
          <w:color w:val="0070C0"/>
          <w:lang w:val="en-US"/>
        </w:rPr>
        <w:t xml:space="preserve"> patients treated with </w:t>
      </w:r>
      <w:proofErr w:type="spellStart"/>
      <w:r w:rsidR="006B0094" w:rsidRPr="008627EF">
        <w:rPr>
          <w:rFonts w:asciiTheme="majorHAnsi" w:hAnsiTheme="majorHAnsi" w:cstheme="majorHAnsi"/>
          <w:color w:val="0070C0"/>
          <w:lang w:val="en-US"/>
        </w:rPr>
        <w:t>acitretin</w:t>
      </w:r>
      <w:proofErr w:type="spellEnd"/>
      <w:r w:rsidR="006B0094" w:rsidRPr="008627EF">
        <w:rPr>
          <w:rFonts w:asciiTheme="majorHAnsi" w:hAnsiTheme="majorHAnsi" w:cstheme="majorHAnsi"/>
          <w:color w:val="0070C0"/>
          <w:lang w:val="en-US"/>
        </w:rPr>
        <w:t>.</w:t>
      </w:r>
    </w:p>
    <w:p w14:paraId="4D0CB34F" w14:textId="4596A3FA" w:rsidR="000764BC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spellStart"/>
      <w:r w:rsidRPr="004112D2">
        <w:rPr>
          <w:rFonts w:asciiTheme="majorHAnsi" w:hAnsiTheme="majorHAnsi" w:cstheme="majorHAnsi"/>
          <w:lang w:val="en-US"/>
        </w:rPr>
        <w:t>CsA</w:t>
      </w:r>
      <w:proofErr w:type="spellEnd"/>
    </w:p>
    <w:p w14:paraId="3F1D96DF" w14:textId="727B875F" w:rsidR="000764BC" w:rsidRPr="008627EF" w:rsidRDefault="00B60A85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spellStart"/>
      <w:r w:rsidRPr="008627EF">
        <w:rPr>
          <w:rFonts w:asciiTheme="majorHAnsi" w:hAnsiTheme="majorHAnsi" w:cstheme="majorHAnsi"/>
          <w:color w:val="0070C0"/>
          <w:lang w:val="en-US"/>
        </w:rPr>
        <w:t>Chularojanamontri</w:t>
      </w:r>
      <w:proofErr w:type="spellEnd"/>
      <w:r w:rsidRPr="008627EF">
        <w:rPr>
          <w:rFonts w:asciiTheme="majorHAnsi" w:hAnsiTheme="majorHAnsi" w:cstheme="majorHAnsi"/>
          <w:color w:val="0070C0"/>
          <w:lang w:val="en-US"/>
        </w:rPr>
        <w:t xml:space="preserve"> et al</w:t>
      </w:r>
      <w:r w:rsidR="0024024D" w:rsidRPr="008627EF">
        <w:rPr>
          <w:rFonts w:asciiTheme="majorHAnsi" w:hAnsiTheme="majorHAnsi" w:cstheme="majorHAnsi"/>
          <w:color w:val="0070C0"/>
          <w:lang w:val="en-US"/>
        </w:rPr>
        <w:t>.</w:t>
      </w:r>
      <w:r w:rsidRPr="008627EF">
        <w:rPr>
          <w:rFonts w:asciiTheme="majorHAnsi" w:hAnsiTheme="majorHAnsi" w:cstheme="majorHAnsi"/>
          <w:color w:val="0070C0"/>
          <w:lang w:val="en-US"/>
        </w:rPr>
        <w:t xml:space="preserve"> reported</w:t>
      </w:r>
      <w:r w:rsidR="00A21949" w:rsidRPr="008627EF">
        <w:rPr>
          <w:rFonts w:asciiTheme="majorHAnsi" w:hAnsiTheme="majorHAnsi" w:cstheme="majorHAnsi"/>
          <w:color w:val="0070C0"/>
          <w:lang w:val="en-US"/>
        </w:rPr>
        <w:t xml:space="preserve"> that viral reactivation did not occur in </w:t>
      </w:r>
      <w:proofErr w:type="gramStart"/>
      <w:r w:rsidR="00A21949" w:rsidRPr="008627EF">
        <w:rPr>
          <w:rFonts w:asciiTheme="majorHAnsi" w:hAnsiTheme="majorHAnsi" w:cstheme="majorHAnsi"/>
          <w:color w:val="0070C0"/>
          <w:lang w:val="en-US"/>
        </w:rPr>
        <w:t>2</w:t>
      </w:r>
      <w:proofErr w:type="gramEnd"/>
      <w:r w:rsidR="00A21949" w:rsidRPr="008627EF">
        <w:rPr>
          <w:rFonts w:asciiTheme="majorHAnsi" w:hAnsiTheme="majorHAnsi" w:cstheme="majorHAnsi"/>
          <w:color w:val="0070C0"/>
          <w:lang w:val="en-US"/>
        </w:rPr>
        <w:t xml:space="preserve"> patients treated with </w:t>
      </w:r>
      <w:proofErr w:type="spellStart"/>
      <w:r w:rsidR="00A21949" w:rsidRPr="008627EF">
        <w:rPr>
          <w:rFonts w:asciiTheme="majorHAnsi" w:hAnsiTheme="majorHAnsi" w:cstheme="majorHAnsi"/>
          <w:color w:val="0070C0"/>
          <w:lang w:val="en-US"/>
        </w:rPr>
        <w:t>ciclosporin</w:t>
      </w:r>
      <w:proofErr w:type="spellEnd"/>
      <w:r w:rsidR="0024024D" w:rsidRPr="008627EF">
        <w:rPr>
          <w:rFonts w:asciiTheme="majorHAnsi" w:hAnsiTheme="majorHAnsi" w:cstheme="majorHAnsi"/>
          <w:color w:val="0070C0"/>
          <w:lang w:val="en-US"/>
        </w:rPr>
        <w:t>.</w:t>
      </w:r>
    </w:p>
    <w:p w14:paraId="40EE38F9" w14:textId="518B9E30" w:rsidR="0000175B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MTX</w:t>
      </w:r>
    </w:p>
    <w:p w14:paraId="7440782B" w14:textId="0993A436" w:rsidR="00B60A85" w:rsidRPr="004112D2" w:rsidRDefault="00B60A85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Tang et al</w:t>
      </w:r>
      <w:r w:rsidR="0024024D" w:rsidRPr="004112D2">
        <w:rPr>
          <w:rFonts w:asciiTheme="majorHAnsi" w:hAnsiTheme="majorHAnsi" w:cstheme="majorHAnsi"/>
          <w:lang w:val="en-US"/>
        </w:rPr>
        <w:t>.</w:t>
      </w:r>
      <w:r w:rsidRPr="004112D2">
        <w:rPr>
          <w:rFonts w:asciiTheme="majorHAnsi" w:hAnsiTheme="majorHAnsi" w:cstheme="majorHAnsi"/>
          <w:lang w:val="en-US"/>
        </w:rPr>
        <w:t xml:space="preserve"> reported </w:t>
      </w:r>
      <w:r w:rsidR="0024024D" w:rsidRPr="004112D2">
        <w:rPr>
          <w:rFonts w:asciiTheme="majorHAnsi" w:hAnsiTheme="majorHAnsi" w:cstheme="majorHAnsi"/>
          <w:lang w:val="en-US"/>
        </w:rPr>
        <w:t xml:space="preserve">that 15 of 370 </w:t>
      </w:r>
      <w:r w:rsidR="00A21949" w:rsidRPr="004112D2">
        <w:rPr>
          <w:rFonts w:asciiTheme="majorHAnsi" w:hAnsiTheme="majorHAnsi" w:cstheme="majorHAnsi"/>
          <w:lang w:val="en-US"/>
        </w:rPr>
        <w:t xml:space="preserve">(4.1%) </w:t>
      </w:r>
      <w:r w:rsidR="0024024D" w:rsidRPr="004112D2">
        <w:rPr>
          <w:rFonts w:asciiTheme="majorHAnsi" w:hAnsiTheme="majorHAnsi" w:cstheme="majorHAnsi"/>
          <w:lang w:val="en-US"/>
        </w:rPr>
        <w:t>hepatitis B patients treated wit</w:t>
      </w:r>
      <w:r w:rsidR="00913F85">
        <w:rPr>
          <w:rFonts w:asciiTheme="majorHAnsi" w:hAnsiTheme="majorHAnsi" w:cstheme="majorHAnsi"/>
          <w:lang w:val="en-US"/>
        </w:rPr>
        <w:t>h</w:t>
      </w:r>
      <w:r w:rsidR="0024024D" w:rsidRPr="004112D2">
        <w:rPr>
          <w:rFonts w:asciiTheme="majorHAnsi" w:hAnsiTheme="majorHAnsi" w:cstheme="majorHAnsi"/>
          <w:lang w:val="en-US"/>
        </w:rPr>
        <w:t xml:space="preserve"> MTX developed liver cirrhosis.</w:t>
      </w:r>
    </w:p>
    <w:p w14:paraId="616787F5" w14:textId="6B8E09BE" w:rsidR="0024024D" w:rsidRPr="004112D2" w:rsidRDefault="0024024D" w:rsidP="00DB3F9E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spellStart"/>
      <w:r w:rsidRPr="008627EF">
        <w:rPr>
          <w:rFonts w:asciiTheme="majorHAnsi" w:hAnsiTheme="majorHAnsi" w:cstheme="majorHAnsi"/>
          <w:color w:val="0070C0"/>
          <w:lang w:val="en-US"/>
        </w:rPr>
        <w:t>Chularojanamontri</w:t>
      </w:r>
      <w:proofErr w:type="spellEnd"/>
      <w:r w:rsidRPr="008627EF">
        <w:rPr>
          <w:rFonts w:asciiTheme="majorHAnsi" w:hAnsiTheme="majorHAnsi" w:cstheme="majorHAnsi"/>
          <w:color w:val="0070C0"/>
          <w:lang w:val="en-US"/>
        </w:rPr>
        <w:t xml:space="preserve"> et al. reported that </w:t>
      </w:r>
      <w:proofErr w:type="gramStart"/>
      <w:r w:rsidRPr="008627EF">
        <w:rPr>
          <w:rFonts w:asciiTheme="majorHAnsi" w:hAnsiTheme="majorHAnsi" w:cstheme="majorHAnsi"/>
          <w:color w:val="0070C0"/>
          <w:lang w:val="en-US"/>
        </w:rPr>
        <w:t>2</w:t>
      </w:r>
      <w:proofErr w:type="gramEnd"/>
      <w:r w:rsidRPr="008627EF">
        <w:rPr>
          <w:rFonts w:asciiTheme="majorHAnsi" w:hAnsiTheme="majorHAnsi" w:cstheme="majorHAnsi"/>
          <w:color w:val="0070C0"/>
          <w:lang w:val="en-US"/>
        </w:rPr>
        <w:t xml:space="preserve"> of 6</w:t>
      </w:r>
      <w:r w:rsidR="00A21949" w:rsidRPr="008627EF">
        <w:rPr>
          <w:rFonts w:asciiTheme="majorHAnsi" w:hAnsiTheme="majorHAnsi" w:cstheme="majorHAnsi"/>
          <w:color w:val="0070C0"/>
          <w:lang w:val="en-US"/>
        </w:rPr>
        <w:t xml:space="preserve"> (33.3%)</w:t>
      </w:r>
      <w:r w:rsidRPr="008627EF">
        <w:rPr>
          <w:rFonts w:asciiTheme="majorHAnsi" w:hAnsiTheme="majorHAnsi" w:cstheme="majorHAnsi"/>
          <w:color w:val="0070C0"/>
          <w:lang w:val="en-US"/>
        </w:rPr>
        <w:t xml:space="preserve"> patients</w:t>
      </w:r>
      <w:r w:rsidR="000516DE" w:rsidRPr="008627EF">
        <w:rPr>
          <w:rFonts w:asciiTheme="majorHAnsi" w:hAnsiTheme="majorHAnsi" w:cstheme="majorHAnsi"/>
          <w:color w:val="0070C0"/>
          <w:lang w:val="en-US"/>
        </w:rPr>
        <w:t xml:space="preserve"> treated with MTX </w:t>
      </w:r>
      <w:r w:rsidR="002E34A6" w:rsidRPr="008627EF">
        <w:rPr>
          <w:rFonts w:asciiTheme="majorHAnsi" w:hAnsiTheme="majorHAnsi" w:cstheme="majorHAnsi"/>
          <w:color w:val="0070C0"/>
          <w:lang w:val="en-US"/>
        </w:rPr>
        <w:t>suffered</w:t>
      </w:r>
      <w:r w:rsidR="000516DE" w:rsidRPr="008627EF">
        <w:rPr>
          <w:rFonts w:asciiTheme="majorHAnsi" w:hAnsiTheme="majorHAnsi" w:cstheme="majorHAnsi"/>
          <w:color w:val="0070C0"/>
          <w:lang w:val="en-US"/>
        </w:rPr>
        <w:t xml:space="preserve"> from</w:t>
      </w:r>
      <w:r w:rsidRPr="008627EF">
        <w:rPr>
          <w:rFonts w:asciiTheme="majorHAnsi" w:hAnsiTheme="majorHAnsi" w:cstheme="majorHAnsi"/>
          <w:color w:val="0070C0"/>
          <w:lang w:val="en-US"/>
        </w:rPr>
        <w:t xml:space="preserve"> viral reactivation.</w:t>
      </w:r>
    </w:p>
    <w:p w14:paraId="0D4150DE" w14:textId="531214A1" w:rsidR="000764BC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spellStart"/>
      <w:r w:rsidRPr="004112D2">
        <w:rPr>
          <w:rFonts w:asciiTheme="majorHAnsi" w:hAnsiTheme="majorHAnsi" w:cstheme="majorHAnsi"/>
          <w:lang w:val="en-US"/>
        </w:rPr>
        <w:t>TNFi</w:t>
      </w:r>
      <w:proofErr w:type="spellEnd"/>
    </w:p>
    <w:p w14:paraId="73FB7E47" w14:textId="0C936940" w:rsidR="00B60A85" w:rsidRPr="004112D2" w:rsidRDefault="00F220B0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 xml:space="preserve">ADA: </w:t>
      </w:r>
      <w:proofErr w:type="gramStart"/>
      <w:r w:rsidR="00B60A85" w:rsidRPr="00BF4600">
        <w:rPr>
          <w:rFonts w:asciiTheme="majorHAnsi" w:hAnsiTheme="majorHAnsi" w:cstheme="majorHAnsi"/>
          <w:color w:val="0070C0"/>
          <w:lang w:val="en-US"/>
        </w:rPr>
        <w:t>A total of 8</w:t>
      </w:r>
      <w:proofErr w:type="gramEnd"/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 studies with 38 patients reported no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 B reactivation in patients </w:t>
      </w:r>
      <w:r w:rsidR="00A21949" w:rsidRPr="00BF4600">
        <w:rPr>
          <w:rFonts w:asciiTheme="majorHAnsi" w:hAnsiTheme="majorHAnsi" w:cstheme="majorHAnsi"/>
          <w:color w:val="0070C0"/>
          <w:lang w:val="en-US"/>
        </w:rPr>
        <w:t xml:space="preserve">treated with </w:t>
      </w:r>
      <w:proofErr w:type="spellStart"/>
      <w:r w:rsidR="00A21949" w:rsidRPr="00BF4600">
        <w:rPr>
          <w:rFonts w:asciiTheme="majorHAnsi" w:hAnsiTheme="majorHAnsi" w:cstheme="majorHAnsi"/>
          <w:color w:val="0070C0"/>
          <w:lang w:val="en-US"/>
        </w:rPr>
        <w:t>adalimumab</w:t>
      </w:r>
      <w:proofErr w:type="spellEnd"/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  <w:proofErr w:type="gramStart"/>
      <w:r w:rsidR="000516DE" w:rsidRPr="00BF4600">
        <w:rPr>
          <w:rFonts w:asciiTheme="majorHAnsi" w:hAnsiTheme="majorHAnsi" w:cstheme="majorHAnsi"/>
          <w:color w:val="0070C0"/>
          <w:lang w:val="en-US"/>
        </w:rPr>
        <w:t>A total of 3</w:t>
      </w:r>
      <w:proofErr w:type="gramEnd"/>
      <w:r w:rsidR="000516DE" w:rsidRPr="00BF4600">
        <w:rPr>
          <w:rFonts w:asciiTheme="majorHAnsi" w:hAnsiTheme="majorHAnsi" w:cstheme="majorHAnsi"/>
          <w:color w:val="0070C0"/>
          <w:lang w:val="en-US"/>
        </w:rPr>
        <w:t xml:space="preserve"> studies with 29 patients reported a PASI75 response in 28 (96.6%) patients treated with </w:t>
      </w:r>
      <w:proofErr w:type="spellStart"/>
      <w:r w:rsidR="000516DE" w:rsidRPr="00BF4600">
        <w:rPr>
          <w:rFonts w:asciiTheme="majorHAnsi" w:hAnsiTheme="majorHAnsi" w:cstheme="majorHAnsi"/>
          <w:color w:val="0070C0"/>
          <w:lang w:val="en-US"/>
        </w:rPr>
        <w:t>adalimumab</w:t>
      </w:r>
      <w:proofErr w:type="spellEnd"/>
      <w:r w:rsidR="000516DE" w:rsidRPr="004112D2">
        <w:rPr>
          <w:rFonts w:asciiTheme="majorHAnsi" w:hAnsiTheme="majorHAnsi" w:cstheme="majorHAnsi"/>
          <w:lang w:val="en-US"/>
        </w:rPr>
        <w:t xml:space="preserve">. </w:t>
      </w:r>
    </w:p>
    <w:p w14:paraId="4AF9A587" w14:textId="0F30C05C" w:rsidR="00B60A85" w:rsidRPr="004112D2" w:rsidRDefault="00F220B0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ETA: </w:t>
      </w:r>
      <w:proofErr w:type="gramStart"/>
      <w:r w:rsidR="00B60A85" w:rsidRPr="00BF4600">
        <w:rPr>
          <w:rFonts w:asciiTheme="majorHAnsi" w:hAnsiTheme="majorHAnsi" w:cstheme="majorHAnsi"/>
          <w:color w:val="0070C0"/>
          <w:lang w:val="en-US"/>
        </w:rPr>
        <w:t>A total of 8</w:t>
      </w:r>
      <w:proofErr w:type="gramEnd"/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 studies </w:t>
      </w:r>
      <w:r w:rsidR="00B8266F" w:rsidRPr="00BF4600">
        <w:rPr>
          <w:rFonts w:asciiTheme="majorHAnsi" w:hAnsiTheme="majorHAnsi" w:cstheme="majorHAnsi"/>
          <w:color w:val="0070C0"/>
          <w:lang w:val="en-US"/>
        </w:rPr>
        <w:t>with 4</w:t>
      </w:r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3 patients reported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="00A21949" w:rsidRPr="00BF4600">
        <w:rPr>
          <w:rFonts w:asciiTheme="majorHAnsi" w:hAnsiTheme="majorHAnsi" w:cstheme="majorHAnsi"/>
          <w:color w:val="0070C0"/>
          <w:lang w:val="en-US"/>
        </w:rPr>
        <w:t xml:space="preserve"> B reactivation in </w:t>
      </w:r>
      <w:r w:rsidR="00B8266F" w:rsidRPr="00BF4600">
        <w:rPr>
          <w:rFonts w:asciiTheme="majorHAnsi" w:hAnsiTheme="majorHAnsi" w:cstheme="majorHAnsi"/>
          <w:color w:val="0070C0"/>
          <w:lang w:val="en-US"/>
        </w:rPr>
        <w:t>3 (7.0</w:t>
      </w:r>
      <w:r w:rsidR="00E409B9" w:rsidRPr="00BF4600">
        <w:rPr>
          <w:rFonts w:asciiTheme="majorHAnsi" w:hAnsiTheme="majorHAnsi" w:cstheme="majorHAnsi"/>
          <w:color w:val="0070C0"/>
          <w:lang w:val="en-US"/>
        </w:rPr>
        <w:t xml:space="preserve">%) </w:t>
      </w:r>
      <w:r w:rsidR="00A21949" w:rsidRPr="00BF4600">
        <w:rPr>
          <w:rFonts w:asciiTheme="majorHAnsi" w:hAnsiTheme="majorHAnsi" w:cstheme="majorHAnsi"/>
          <w:color w:val="0070C0"/>
          <w:lang w:val="en-US"/>
        </w:rPr>
        <w:t xml:space="preserve">patients treated with </w:t>
      </w:r>
      <w:proofErr w:type="spellStart"/>
      <w:r w:rsidR="00A21949" w:rsidRPr="00BF4600">
        <w:rPr>
          <w:rFonts w:asciiTheme="majorHAnsi" w:hAnsiTheme="majorHAnsi" w:cstheme="majorHAnsi"/>
          <w:color w:val="0070C0"/>
          <w:lang w:val="en-US"/>
        </w:rPr>
        <w:t>etanercept</w:t>
      </w:r>
      <w:proofErr w:type="spellEnd"/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  <w:proofErr w:type="gramStart"/>
      <w:r w:rsidR="008E2476" w:rsidRPr="004112D2">
        <w:rPr>
          <w:rFonts w:asciiTheme="majorHAnsi" w:hAnsiTheme="majorHAnsi" w:cstheme="majorHAnsi"/>
          <w:lang w:val="en-US"/>
        </w:rPr>
        <w:t>A total of 3</w:t>
      </w:r>
      <w:proofErr w:type="gramEnd"/>
      <w:r w:rsidR="008E2476" w:rsidRPr="004112D2">
        <w:rPr>
          <w:rFonts w:asciiTheme="majorHAnsi" w:hAnsiTheme="majorHAnsi" w:cstheme="majorHAnsi"/>
          <w:lang w:val="en-US"/>
        </w:rPr>
        <w:t xml:space="preserve"> studies with 14 patients reported</w:t>
      </w:r>
      <w:r w:rsidR="00C7409B">
        <w:rPr>
          <w:rFonts w:asciiTheme="majorHAnsi" w:hAnsiTheme="majorHAnsi" w:cstheme="majorHAnsi"/>
          <w:lang w:val="en-US"/>
        </w:rPr>
        <w:t xml:space="preserve"> at least</w:t>
      </w:r>
      <w:r w:rsidR="008E2476" w:rsidRPr="004112D2">
        <w:rPr>
          <w:rFonts w:asciiTheme="majorHAnsi" w:hAnsiTheme="majorHAnsi" w:cstheme="majorHAnsi"/>
          <w:lang w:val="en-US"/>
        </w:rPr>
        <w:t xml:space="preserve"> a PASI50 response in 13 (92.9%) patients treated with </w:t>
      </w:r>
      <w:proofErr w:type="spellStart"/>
      <w:r w:rsidR="008E2476" w:rsidRPr="004112D2">
        <w:rPr>
          <w:rFonts w:asciiTheme="majorHAnsi" w:hAnsiTheme="majorHAnsi" w:cstheme="majorHAnsi"/>
          <w:lang w:val="en-US"/>
        </w:rPr>
        <w:t>et</w:t>
      </w:r>
      <w:r w:rsidR="00B85F5B" w:rsidRPr="004112D2">
        <w:rPr>
          <w:rFonts w:asciiTheme="majorHAnsi" w:hAnsiTheme="majorHAnsi" w:cstheme="majorHAnsi"/>
          <w:lang w:val="en-US"/>
        </w:rPr>
        <w:t>anercept</w:t>
      </w:r>
      <w:proofErr w:type="spellEnd"/>
      <w:r w:rsidR="008E2476" w:rsidRPr="004112D2">
        <w:rPr>
          <w:rFonts w:asciiTheme="majorHAnsi" w:hAnsiTheme="majorHAnsi" w:cstheme="majorHAnsi"/>
          <w:lang w:val="en-US"/>
        </w:rPr>
        <w:t>.</w:t>
      </w:r>
    </w:p>
    <w:p w14:paraId="77AE478A" w14:textId="12C035B2" w:rsidR="00B60A85" w:rsidRPr="004112D2" w:rsidRDefault="00F220B0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IFX: </w:t>
      </w:r>
      <w:proofErr w:type="gramStart"/>
      <w:r w:rsidR="00B60A85" w:rsidRPr="00BF4600">
        <w:rPr>
          <w:rFonts w:asciiTheme="majorHAnsi" w:hAnsiTheme="majorHAnsi" w:cstheme="majorHAnsi"/>
          <w:color w:val="0070C0"/>
          <w:lang w:val="en-US"/>
        </w:rPr>
        <w:t>A total of 5</w:t>
      </w:r>
      <w:proofErr w:type="gramEnd"/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 studies with 13 patients reported</w:t>
      </w:r>
      <w:r w:rsidR="00E409B9" w:rsidRPr="00BF4600">
        <w:rPr>
          <w:rFonts w:asciiTheme="majorHAnsi" w:hAnsiTheme="majorHAnsi" w:cstheme="majorHAnsi"/>
          <w:color w:val="0070C0"/>
          <w:lang w:val="en-US"/>
        </w:rPr>
        <w:t xml:space="preserve"> a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 B reactivation in </w:t>
      </w:r>
      <w:r w:rsidR="00E409B9" w:rsidRPr="00BF4600">
        <w:rPr>
          <w:rFonts w:asciiTheme="majorHAnsi" w:hAnsiTheme="majorHAnsi" w:cstheme="majorHAnsi"/>
          <w:color w:val="0070C0"/>
          <w:lang w:val="en-US"/>
        </w:rPr>
        <w:t>1 (7.7%) patient</w:t>
      </w:r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 </w:t>
      </w:r>
      <w:r w:rsidR="00A21949" w:rsidRPr="00BF4600">
        <w:rPr>
          <w:rFonts w:asciiTheme="majorHAnsi" w:hAnsiTheme="majorHAnsi" w:cstheme="majorHAnsi"/>
          <w:color w:val="0070C0"/>
          <w:lang w:val="en-US"/>
        </w:rPr>
        <w:t>treated with infliximab</w:t>
      </w:r>
      <w:r w:rsidR="00B60A85"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  <w:proofErr w:type="gramStart"/>
      <w:r w:rsidR="008E2476" w:rsidRPr="004112D2">
        <w:rPr>
          <w:rFonts w:asciiTheme="majorHAnsi" w:hAnsiTheme="majorHAnsi" w:cstheme="majorHAnsi"/>
          <w:lang w:val="en-US"/>
        </w:rPr>
        <w:t>A total of 2</w:t>
      </w:r>
      <w:proofErr w:type="gramEnd"/>
      <w:r w:rsidR="008E2476" w:rsidRPr="004112D2">
        <w:rPr>
          <w:rFonts w:asciiTheme="majorHAnsi" w:hAnsiTheme="majorHAnsi" w:cstheme="majorHAnsi"/>
          <w:lang w:val="en-US"/>
        </w:rPr>
        <w:t xml:space="preserve"> studies with 2 patients reported a PASI75 response in 1 (50%) patient </w:t>
      </w:r>
      <w:r w:rsidR="00DB3F9E" w:rsidRPr="004112D2">
        <w:rPr>
          <w:rFonts w:asciiTheme="majorHAnsi" w:hAnsiTheme="majorHAnsi" w:cstheme="majorHAnsi"/>
          <w:lang w:val="en-US"/>
        </w:rPr>
        <w:t>treated with infliximab</w:t>
      </w:r>
      <w:r w:rsidR="008E2476" w:rsidRPr="004112D2">
        <w:rPr>
          <w:rFonts w:asciiTheme="majorHAnsi" w:hAnsiTheme="majorHAnsi" w:cstheme="majorHAnsi"/>
          <w:lang w:val="en-US"/>
        </w:rPr>
        <w:t>.</w:t>
      </w:r>
    </w:p>
    <w:p w14:paraId="759AAEB6" w14:textId="4B6BD28A" w:rsidR="000764BC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UST</w:t>
      </w:r>
    </w:p>
    <w:p w14:paraId="0278CB62" w14:textId="26AC4585" w:rsidR="0024024D" w:rsidRPr="004112D2" w:rsidRDefault="0024024D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gramStart"/>
      <w:r w:rsidRPr="00BF4600">
        <w:rPr>
          <w:rFonts w:asciiTheme="majorHAnsi" w:hAnsiTheme="majorHAnsi" w:cstheme="majorHAnsi"/>
          <w:color w:val="0070C0"/>
          <w:lang w:val="en-US"/>
        </w:rPr>
        <w:t xml:space="preserve">A total of </w:t>
      </w:r>
      <w:r w:rsidR="002147FB">
        <w:rPr>
          <w:rFonts w:asciiTheme="majorHAnsi" w:hAnsiTheme="majorHAnsi" w:cstheme="majorHAnsi"/>
          <w:color w:val="0070C0"/>
          <w:lang w:val="en-US"/>
        </w:rPr>
        <w:t>6</w:t>
      </w:r>
      <w:proofErr w:type="gramEnd"/>
      <w:r w:rsidRPr="00BF4600">
        <w:rPr>
          <w:rFonts w:asciiTheme="majorHAnsi" w:hAnsiTheme="majorHAnsi" w:cstheme="majorHAnsi"/>
          <w:color w:val="0070C0"/>
          <w:lang w:val="en-US"/>
        </w:rPr>
        <w:t xml:space="preserve"> studies with 10</w:t>
      </w:r>
      <w:r w:rsidR="002147FB">
        <w:rPr>
          <w:rFonts w:asciiTheme="majorHAnsi" w:hAnsiTheme="majorHAnsi" w:cstheme="majorHAnsi"/>
          <w:color w:val="0070C0"/>
          <w:lang w:val="en-US"/>
        </w:rPr>
        <w:t>6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patients reported</w:t>
      </w:r>
      <w:r w:rsidR="00E409B9" w:rsidRPr="00BF4600">
        <w:rPr>
          <w:rFonts w:asciiTheme="majorHAnsi" w:hAnsiTheme="majorHAnsi" w:cstheme="majorHAnsi"/>
          <w:color w:val="0070C0"/>
          <w:lang w:val="en-US"/>
        </w:rPr>
        <w:t xml:space="preserve"> a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="00E409B9" w:rsidRPr="00BF4600">
        <w:rPr>
          <w:rFonts w:asciiTheme="majorHAnsi" w:hAnsiTheme="majorHAnsi" w:cstheme="majorHAnsi"/>
          <w:color w:val="0070C0"/>
          <w:lang w:val="en-US"/>
        </w:rPr>
        <w:t xml:space="preserve"> B reactivation in 4 (3.8%) patients treated with </w:t>
      </w:r>
      <w:proofErr w:type="spellStart"/>
      <w:r w:rsidR="00E409B9" w:rsidRPr="00BF4600">
        <w:rPr>
          <w:rFonts w:asciiTheme="majorHAnsi" w:hAnsiTheme="majorHAnsi" w:cstheme="majorHAnsi"/>
          <w:color w:val="0070C0"/>
          <w:lang w:val="en-US"/>
        </w:rPr>
        <w:t>ustekinumab</w:t>
      </w:r>
      <w:proofErr w:type="spellEnd"/>
      <w:r w:rsidR="00E409B9"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  <w:r w:rsidR="00B61775" w:rsidRPr="004112D2">
        <w:rPr>
          <w:rFonts w:asciiTheme="majorHAnsi" w:hAnsiTheme="majorHAnsi" w:cstheme="majorHAnsi"/>
          <w:lang w:val="en-US"/>
        </w:rPr>
        <w:t xml:space="preserve">One study reported a PASI75 response in </w:t>
      </w:r>
      <w:proofErr w:type="gramStart"/>
      <w:r w:rsidR="00B61775" w:rsidRPr="004112D2">
        <w:rPr>
          <w:rFonts w:asciiTheme="majorHAnsi" w:hAnsiTheme="majorHAnsi" w:cstheme="majorHAnsi"/>
          <w:lang w:val="en-US"/>
        </w:rPr>
        <w:t>5</w:t>
      </w:r>
      <w:proofErr w:type="gramEnd"/>
      <w:r w:rsidR="00B61775" w:rsidRPr="004112D2">
        <w:rPr>
          <w:rFonts w:asciiTheme="majorHAnsi" w:hAnsiTheme="majorHAnsi" w:cstheme="majorHAnsi"/>
          <w:lang w:val="en-US"/>
        </w:rPr>
        <w:t xml:space="preserve"> of 14 (35.7%) patients.</w:t>
      </w:r>
    </w:p>
    <w:p w14:paraId="64F42AD0" w14:textId="67FC0346" w:rsidR="000764BC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SEC</w:t>
      </w:r>
    </w:p>
    <w:p w14:paraId="5B2F0C1D" w14:textId="5B05F441" w:rsidR="0024024D" w:rsidRPr="00BF4600" w:rsidRDefault="0024024D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gramStart"/>
      <w:r w:rsidRPr="00BF4600">
        <w:rPr>
          <w:rFonts w:asciiTheme="majorHAnsi" w:hAnsiTheme="majorHAnsi" w:cstheme="majorHAnsi"/>
          <w:color w:val="0070C0"/>
          <w:lang w:val="en-US"/>
        </w:rPr>
        <w:t>A total of 3</w:t>
      </w:r>
      <w:proofErr w:type="gramEnd"/>
      <w:r w:rsidRPr="00BF4600">
        <w:rPr>
          <w:rFonts w:asciiTheme="majorHAnsi" w:hAnsiTheme="majorHAnsi" w:cstheme="majorHAnsi"/>
          <w:color w:val="0070C0"/>
          <w:lang w:val="en-US"/>
        </w:rPr>
        <w:t xml:space="preserve"> studies with 8 patients </w:t>
      </w:r>
      <w:r w:rsidR="00E409B9" w:rsidRPr="00BF4600">
        <w:rPr>
          <w:rFonts w:asciiTheme="majorHAnsi" w:hAnsiTheme="majorHAnsi" w:cstheme="majorHAnsi"/>
          <w:color w:val="0070C0"/>
          <w:lang w:val="en-US"/>
        </w:rPr>
        <w:t xml:space="preserve">reported that viral reactivation did not occur in patients treated with </w:t>
      </w:r>
      <w:proofErr w:type="spellStart"/>
      <w:r w:rsidR="00E409B9" w:rsidRPr="00BF4600">
        <w:rPr>
          <w:rFonts w:asciiTheme="majorHAnsi" w:hAnsiTheme="majorHAnsi" w:cstheme="majorHAnsi"/>
          <w:color w:val="0070C0"/>
          <w:lang w:val="en-US"/>
        </w:rPr>
        <w:t>secukinumab</w:t>
      </w:r>
      <w:proofErr w:type="spellEnd"/>
      <w:r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  <w:r w:rsidR="00B61775" w:rsidRPr="00BF4600">
        <w:rPr>
          <w:rFonts w:asciiTheme="majorHAnsi" w:hAnsiTheme="majorHAnsi" w:cstheme="majorHAnsi"/>
          <w:color w:val="0070C0"/>
          <w:lang w:val="en-US"/>
        </w:rPr>
        <w:t xml:space="preserve">One study with </w:t>
      </w:r>
      <w:proofErr w:type="gramStart"/>
      <w:r w:rsidR="00B61775" w:rsidRPr="00BF4600">
        <w:rPr>
          <w:rFonts w:asciiTheme="majorHAnsi" w:hAnsiTheme="majorHAnsi" w:cstheme="majorHAnsi"/>
          <w:color w:val="0070C0"/>
          <w:lang w:val="en-US"/>
        </w:rPr>
        <w:t>5</w:t>
      </w:r>
      <w:proofErr w:type="gramEnd"/>
      <w:r w:rsidR="00B61775" w:rsidRPr="00BF4600">
        <w:rPr>
          <w:rFonts w:asciiTheme="majorHAnsi" w:hAnsiTheme="majorHAnsi" w:cstheme="majorHAnsi"/>
          <w:color w:val="0070C0"/>
          <w:lang w:val="en-US"/>
        </w:rPr>
        <w:t xml:space="preserve"> patients reported a “complete clearance” of psoriasis lesions in al</w:t>
      </w:r>
      <w:r w:rsidR="00DB3F9E" w:rsidRPr="00BF4600">
        <w:rPr>
          <w:rFonts w:asciiTheme="majorHAnsi" w:hAnsiTheme="majorHAnsi" w:cstheme="majorHAnsi"/>
          <w:color w:val="0070C0"/>
          <w:lang w:val="en-US"/>
        </w:rPr>
        <w:t>l</w:t>
      </w:r>
      <w:r w:rsidR="00B61775" w:rsidRPr="00BF4600">
        <w:rPr>
          <w:rFonts w:asciiTheme="majorHAnsi" w:hAnsiTheme="majorHAnsi" w:cstheme="majorHAnsi"/>
          <w:color w:val="0070C0"/>
          <w:lang w:val="en-US"/>
        </w:rPr>
        <w:t xml:space="preserve"> 5 patients. </w:t>
      </w:r>
    </w:p>
    <w:p w14:paraId="61C27ACA" w14:textId="6D7C063E" w:rsidR="0024024D" w:rsidRPr="004112D2" w:rsidRDefault="0024024D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More than one treatment</w:t>
      </w:r>
    </w:p>
    <w:p w14:paraId="6420959E" w14:textId="09764F52" w:rsidR="0054164C" w:rsidRPr="00BF4600" w:rsidRDefault="0024024D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gramStart"/>
      <w:r w:rsidRPr="00BF4600">
        <w:rPr>
          <w:rFonts w:asciiTheme="majorHAnsi" w:hAnsiTheme="majorHAnsi" w:cstheme="majorHAnsi"/>
          <w:color w:val="0070C0"/>
          <w:lang w:val="en-US"/>
        </w:rPr>
        <w:t>A total of 7</w:t>
      </w:r>
      <w:proofErr w:type="gramEnd"/>
      <w:r w:rsidRPr="00BF4600">
        <w:rPr>
          <w:rFonts w:asciiTheme="majorHAnsi" w:hAnsiTheme="majorHAnsi" w:cstheme="majorHAnsi"/>
          <w:color w:val="0070C0"/>
          <w:lang w:val="en-US"/>
        </w:rPr>
        <w:t xml:space="preserve"> studies with </w:t>
      </w:r>
      <w:r w:rsidR="00E409B9" w:rsidRPr="00BF4600">
        <w:rPr>
          <w:rFonts w:asciiTheme="majorHAnsi" w:hAnsiTheme="majorHAnsi" w:cstheme="majorHAnsi"/>
          <w:color w:val="0070C0"/>
          <w:lang w:val="en-US"/>
        </w:rPr>
        <w:t>200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patients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 xml:space="preserve"> treated with more than one drug (conventional and biologics) </w:t>
      </w:r>
      <w:r w:rsidRPr="00BF4600">
        <w:rPr>
          <w:rFonts w:asciiTheme="majorHAnsi" w:hAnsiTheme="majorHAnsi" w:cstheme="majorHAnsi"/>
          <w:color w:val="0070C0"/>
          <w:lang w:val="en-US"/>
        </w:rPr>
        <w:t>reported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 xml:space="preserve"> a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 xml:space="preserve"> B reactivation in 1 (0.5%) patient.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</w:t>
      </w:r>
    </w:p>
    <w:p w14:paraId="39F81DF6" w14:textId="73FCE79B" w:rsidR="0054164C" w:rsidRPr="004112D2" w:rsidRDefault="0054164C" w:rsidP="009820FB">
      <w:pPr>
        <w:jc w:val="both"/>
        <w:rPr>
          <w:u w:val="single"/>
          <w:lang w:val="en-US"/>
        </w:rPr>
      </w:pPr>
      <w:r w:rsidRPr="004112D2">
        <w:rPr>
          <w:u w:val="single"/>
          <w:lang w:val="en-US"/>
        </w:rPr>
        <w:t>Hepatitis C</w:t>
      </w:r>
    </w:p>
    <w:p w14:paraId="75786CFF" w14:textId="311F33C6" w:rsidR="0054164C" w:rsidRPr="004112D2" w:rsidRDefault="0054164C" w:rsidP="009820FB">
      <w:pPr>
        <w:pStyle w:val="Listenabsatz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Prospective data</w:t>
      </w:r>
    </w:p>
    <w:p w14:paraId="6F6716EA" w14:textId="092B54A0" w:rsidR="000764BC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 xml:space="preserve">In a study by Chiu et al. 14 patients with psoriasis and hepatitis C </w:t>
      </w:r>
      <w:proofErr w:type="gramStart"/>
      <w:r w:rsidRPr="004112D2">
        <w:rPr>
          <w:rFonts w:asciiTheme="majorHAnsi" w:hAnsiTheme="majorHAnsi" w:cstheme="majorHAnsi"/>
          <w:lang w:val="en-US"/>
        </w:rPr>
        <w:t>were treated</w:t>
      </w:r>
      <w:proofErr w:type="gramEnd"/>
      <w:r w:rsidRPr="004112D2">
        <w:rPr>
          <w:rFonts w:asciiTheme="majorHAnsi" w:hAnsiTheme="majorHAnsi" w:cstheme="majorHAnsi"/>
          <w:lang w:val="en-US"/>
        </w:rPr>
        <w:t xml:space="preserve"> with </w:t>
      </w:r>
      <w:proofErr w:type="spellStart"/>
      <w:r w:rsidRPr="004112D2">
        <w:rPr>
          <w:rFonts w:asciiTheme="majorHAnsi" w:hAnsiTheme="majorHAnsi" w:cstheme="majorHAnsi"/>
          <w:lang w:val="en-US"/>
        </w:rPr>
        <w:t>secukinumab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. A reactivation of hepatitis C was </w:t>
      </w:r>
      <w:r w:rsidR="00B61775" w:rsidRPr="004112D2">
        <w:rPr>
          <w:rFonts w:asciiTheme="majorHAnsi" w:hAnsiTheme="majorHAnsi" w:cstheme="majorHAnsi"/>
          <w:lang w:val="en-US"/>
        </w:rPr>
        <w:t>reported</w:t>
      </w:r>
      <w:r w:rsidRPr="004112D2">
        <w:rPr>
          <w:rFonts w:asciiTheme="majorHAnsi" w:hAnsiTheme="majorHAnsi" w:cstheme="majorHAnsi"/>
          <w:lang w:val="en-US"/>
        </w:rPr>
        <w:t xml:space="preserve"> in 1 of 14 (</w:t>
      </w:r>
      <w:r w:rsidR="00754631" w:rsidRPr="004112D2">
        <w:rPr>
          <w:rFonts w:asciiTheme="majorHAnsi" w:hAnsiTheme="majorHAnsi" w:cstheme="majorHAnsi"/>
          <w:lang w:val="en-US"/>
        </w:rPr>
        <w:t>7.1</w:t>
      </w:r>
      <w:r w:rsidRPr="004112D2">
        <w:rPr>
          <w:rFonts w:asciiTheme="majorHAnsi" w:hAnsiTheme="majorHAnsi" w:cstheme="majorHAnsi"/>
          <w:lang w:val="en-US"/>
        </w:rPr>
        <w:t>%)</w:t>
      </w:r>
      <w:r w:rsidR="00754631" w:rsidRPr="004112D2">
        <w:rPr>
          <w:rFonts w:asciiTheme="majorHAnsi" w:hAnsiTheme="majorHAnsi" w:cstheme="majorHAnsi"/>
          <w:lang w:val="en-US"/>
        </w:rPr>
        <w:t xml:space="preserve"> patient</w:t>
      </w:r>
      <w:r w:rsidR="00B61775" w:rsidRPr="004112D2">
        <w:rPr>
          <w:rFonts w:asciiTheme="majorHAnsi" w:hAnsiTheme="majorHAnsi" w:cstheme="majorHAnsi"/>
          <w:lang w:val="en-US"/>
        </w:rPr>
        <w:t>s</w:t>
      </w:r>
      <w:r w:rsidRPr="004112D2">
        <w:rPr>
          <w:rFonts w:asciiTheme="majorHAnsi" w:hAnsiTheme="majorHAnsi" w:cstheme="majorHAnsi"/>
          <w:lang w:val="en-US"/>
        </w:rPr>
        <w:t xml:space="preserve"> </w:t>
      </w:r>
      <w:r w:rsidR="003B2AE9" w:rsidRPr="004112D2">
        <w:rPr>
          <w:rFonts w:asciiTheme="majorHAnsi" w:hAnsiTheme="majorHAnsi" w:cstheme="majorHAnsi"/>
          <w:lang w:val="en-US"/>
        </w:rPr>
        <w:t>(</w:t>
      </w:r>
      <w:r w:rsidRPr="004112D2">
        <w:rPr>
          <w:rFonts w:asciiTheme="majorHAnsi" w:hAnsiTheme="majorHAnsi" w:cstheme="majorHAnsi"/>
          <w:lang w:val="en-US"/>
        </w:rPr>
        <w:t>risk of bias</w:t>
      </w:r>
      <w:r w:rsidR="003B2AE9" w:rsidRPr="004112D2">
        <w:rPr>
          <w:rFonts w:asciiTheme="majorHAnsi" w:hAnsiTheme="majorHAnsi" w:cstheme="majorHAnsi"/>
          <w:lang w:val="en-US"/>
        </w:rPr>
        <w:t xml:space="preserve"> high</w:t>
      </w:r>
      <w:r w:rsidRPr="004112D2">
        <w:rPr>
          <w:rFonts w:asciiTheme="majorHAnsi" w:hAnsiTheme="majorHAnsi" w:cstheme="majorHAnsi"/>
          <w:lang w:val="en-US"/>
        </w:rPr>
        <w:t>)</w:t>
      </w:r>
    </w:p>
    <w:p w14:paraId="1512056E" w14:textId="7696FFEF" w:rsidR="000764BC" w:rsidRPr="004112D2" w:rsidRDefault="000764BC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 xml:space="preserve">Al </w:t>
      </w:r>
      <w:proofErr w:type="spellStart"/>
      <w:r w:rsidRPr="004112D2">
        <w:rPr>
          <w:rFonts w:asciiTheme="majorHAnsi" w:hAnsiTheme="majorHAnsi" w:cstheme="majorHAnsi"/>
          <w:lang w:val="en-US"/>
        </w:rPr>
        <w:t>Mutairi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 and </w:t>
      </w:r>
      <w:proofErr w:type="spellStart"/>
      <w:r w:rsidRPr="004112D2">
        <w:rPr>
          <w:rFonts w:asciiTheme="majorHAnsi" w:hAnsiTheme="majorHAnsi" w:cstheme="majorHAnsi"/>
          <w:lang w:val="en-US"/>
        </w:rPr>
        <w:t>Abouzaid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 reported that of </w:t>
      </w:r>
      <w:proofErr w:type="gramStart"/>
      <w:r w:rsidRPr="004112D2">
        <w:rPr>
          <w:rFonts w:asciiTheme="majorHAnsi" w:hAnsiTheme="majorHAnsi" w:cstheme="majorHAnsi"/>
          <w:lang w:val="en-US"/>
        </w:rPr>
        <w:t>7</w:t>
      </w:r>
      <w:proofErr w:type="gramEnd"/>
      <w:r w:rsidRPr="004112D2">
        <w:rPr>
          <w:rFonts w:asciiTheme="majorHAnsi" w:hAnsiTheme="majorHAnsi" w:cstheme="majorHAnsi"/>
          <w:lang w:val="en-US"/>
        </w:rPr>
        <w:t xml:space="preserve"> patients treated with </w:t>
      </w:r>
      <w:proofErr w:type="spellStart"/>
      <w:r w:rsidRPr="004112D2">
        <w:rPr>
          <w:rFonts w:asciiTheme="majorHAnsi" w:hAnsiTheme="majorHAnsi" w:cstheme="majorHAnsi"/>
          <w:lang w:val="en-US"/>
        </w:rPr>
        <w:t>TNFi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 (ADA, ETA), none </w:t>
      </w:r>
      <w:proofErr w:type="spellStart"/>
      <w:r w:rsidRPr="004112D2">
        <w:rPr>
          <w:rFonts w:asciiTheme="majorHAnsi" w:hAnsiTheme="majorHAnsi" w:cstheme="majorHAnsi"/>
          <w:lang w:val="en-US"/>
        </w:rPr>
        <w:t>sufferd</w:t>
      </w:r>
      <w:proofErr w:type="spellEnd"/>
      <w:r w:rsidRPr="004112D2">
        <w:rPr>
          <w:rFonts w:asciiTheme="majorHAnsi" w:hAnsiTheme="majorHAnsi" w:cstheme="majorHAnsi"/>
          <w:lang w:val="en-US"/>
        </w:rPr>
        <w:t xml:space="preserve"> from hepatitis reactivation, an increase in transaminases or viral load</w:t>
      </w:r>
      <w:r w:rsidR="009109CB" w:rsidRPr="004112D2">
        <w:rPr>
          <w:rFonts w:asciiTheme="majorHAnsi" w:hAnsiTheme="majorHAnsi" w:cstheme="majorHAnsi"/>
          <w:lang w:val="en-US"/>
        </w:rPr>
        <w:t xml:space="preserve">. A PASI75 response was reported in all </w:t>
      </w:r>
      <w:proofErr w:type="gramStart"/>
      <w:r w:rsidR="009109CB" w:rsidRPr="004112D2">
        <w:rPr>
          <w:rFonts w:asciiTheme="majorHAnsi" w:hAnsiTheme="majorHAnsi" w:cstheme="majorHAnsi"/>
          <w:lang w:val="en-US"/>
        </w:rPr>
        <w:t>7</w:t>
      </w:r>
      <w:proofErr w:type="gramEnd"/>
      <w:r w:rsidR="009109CB" w:rsidRPr="004112D2">
        <w:rPr>
          <w:rFonts w:asciiTheme="majorHAnsi" w:hAnsiTheme="majorHAnsi" w:cstheme="majorHAnsi"/>
          <w:lang w:val="en-US"/>
        </w:rPr>
        <w:t xml:space="preserve"> patients</w:t>
      </w:r>
      <w:r w:rsidRPr="004112D2">
        <w:rPr>
          <w:rFonts w:asciiTheme="majorHAnsi" w:hAnsiTheme="majorHAnsi" w:cstheme="majorHAnsi"/>
          <w:lang w:val="en-US"/>
        </w:rPr>
        <w:t xml:space="preserve"> (risk of bias high). </w:t>
      </w:r>
    </w:p>
    <w:p w14:paraId="27FA6C2C" w14:textId="21776484" w:rsidR="0054164C" w:rsidRPr="004112D2" w:rsidRDefault="0054164C" w:rsidP="009820FB">
      <w:pPr>
        <w:pStyle w:val="Listenabsatz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Retrospective data</w:t>
      </w:r>
    </w:p>
    <w:p w14:paraId="509516EF" w14:textId="77777777" w:rsidR="003B2AE9" w:rsidRPr="004112D2" w:rsidRDefault="003B2AE9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spellStart"/>
      <w:r w:rsidRPr="004112D2">
        <w:rPr>
          <w:rFonts w:asciiTheme="majorHAnsi" w:hAnsiTheme="majorHAnsi" w:cstheme="majorHAnsi"/>
          <w:lang w:val="en-US"/>
        </w:rPr>
        <w:t>Acitritin</w:t>
      </w:r>
      <w:proofErr w:type="spellEnd"/>
    </w:p>
    <w:p w14:paraId="029DA61F" w14:textId="430A1C10" w:rsidR="003B2AE9" w:rsidRPr="008627EF" w:rsidRDefault="003B2AE9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spellStart"/>
      <w:r w:rsidRPr="008627EF">
        <w:rPr>
          <w:rFonts w:asciiTheme="majorHAnsi" w:hAnsiTheme="majorHAnsi" w:cstheme="majorHAnsi"/>
          <w:color w:val="0070C0"/>
          <w:lang w:val="en-US"/>
        </w:rPr>
        <w:t>Chularojanamontri</w:t>
      </w:r>
      <w:proofErr w:type="spellEnd"/>
      <w:r w:rsidRPr="008627EF">
        <w:rPr>
          <w:rFonts w:asciiTheme="majorHAnsi" w:hAnsiTheme="majorHAnsi" w:cstheme="majorHAnsi"/>
          <w:color w:val="0070C0"/>
          <w:lang w:val="en-US"/>
        </w:rPr>
        <w:t xml:space="preserve"> et al. </w:t>
      </w:r>
      <w:proofErr w:type="gramStart"/>
      <w:r w:rsidRPr="008627EF">
        <w:rPr>
          <w:rFonts w:asciiTheme="majorHAnsi" w:hAnsiTheme="majorHAnsi" w:cstheme="majorHAnsi"/>
          <w:color w:val="0070C0"/>
          <w:lang w:val="en-US"/>
        </w:rPr>
        <w:t>reported</w:t>
      </w:r>
      <w:proofErr w:type="gramEnd"/>
      <w:r w:rsidRPr="008627EF">
        <w:rPr>
          <w:rFonts w:asciiTheme="majorHAnsi" w:hAnsiTheme="majorHAnsi" w:cstheme="majorHAnsi"/>
          <w:color w:val="0070C0"/>
          <w:lang w:val="en-US"/>
        </w:rPr>
        <w:t xml:space="preserve"> “no worsening</w:t>
      </w:r>
      <w:r w:rsidR="00542F38">
        <w:rPr>
          <w:rFonts w:asciiTheme="majorHAnsi" w:hAnsiTheme="majorHAnsi" w:cstheme="majorHAnsi"/>
          <w:color w:val="0070C0"/>
          <w:lang w:val="en-US"/>
        </w:rPr>
        <w:t xml:space="preserve"> of HCV infection” during </w:t>
      </w:r>
      <w:proofErr w:type="spellStart"/>
      <w:r w:rsidR="00542F38">
        <w:rPr>
          <w:rFonts w:asciiTheme="majorHAnsi" w:hAnsiTheme="majorHAnsi" w:cstheme="majorHAnsi"/>
          <w:color w:val="0070C0"/>
          <w:lang w:val="en-US"/>
        </w:rPr>
        <w:t>acitre</w:t>
      </w:r>
      <w:r w:rsidRPr="008627EF">
        <w:rPr>
          <w:rFonts w:asciiTheme="majorHAnsi" w:hAnsiTheme="majorHAnsi" w:cstheme="majorHAnsi"/>
          <w:color w:val="0070C0"/>
          <w:lang w:val="en-US"/>
        </w:rPr>
        <w:t>tin</w:t>
      </w:r>
      <w:proofErr w:type="spellEnd"/>
      <w:r w:rsidRPr="008627EF">
        <w:rPr>
          <w:rFonts w:asciiTheme="majorHAnsi" w:hAnsiTheme="majorHAnsi" w:cstheme="majorHAnsi"/>
          <w:color w:val="0070C0"/>
          <w:lang w:val="en-US"/>
        </w:rPr>
        <w:t xml:space="preserve"> treatment in </w:t>
      </w:r>
      <w:r w:rsidR="00542F38">
        <w:rPr>
          <w:rFonts w:asciiTheme="majorHAnsi" w:hAnsiTheme="majorHAnsi" w:cstheme="majorHAnsi"/>
          <w:color w:val="0070C0"/>
          <w:lang w:val="en-US"/>
        </w:rPr>
        <w:t>1</w:t>
      </w:r>
      <w:r w:rsidRPr="008627EF">
        <w:rPr>
          <w:rFonts w:asciiTheme="majorHAnsi" w:hAnsiTheme="majorHAnsi" w:cstheme="majorHAnsi"/>
          <w:color w:val="0070C0"/>
          <w:lang w:val="en-US"/>
        </w:rPr>
        <w:t xml:space="preserve"> patient with psoriasis vulgaris and hepatitis C.</w:t>
      </w:r>
    </w:p>
    <w:p w14:paraId="74FA97D3" w14:textId="77777777" w:rsidR="003B2AE9" w:rsidRPr="004112D2" w:rsidRDefault="003B2AE9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spellStart"/>
      <w:r w:rsidRPr="004112D2">
        <w:rPr>
          <w:rFonts w:asciiTheme="majorHAnsi" w:hAnsiTheme="majorHAnsi" w:cstheme="majorHAnsi"/>
          <w:lang w:val="en-US"/>
        </w:rPr>
        <w:t>CsA</w:t>
      </w:r>
      <w:proofErr w:type="spellEnd"/>
    </w:p>
    <w:p w14:paraId="7369B049" w14:textId="2530053D" w:rsidR="003B2AE9" w:rsidRPr="008627EF" w:rsidRDefault="003B2AE9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spellStart"/>
      <w:r w:rsidRPr="008627EF">
        <w:rPr>
          <w:rFonts w:asciiTheme="majorHAnsi" w:hAnsiTheme="majorHAnsi" w:cstheme="majorHAnsi"/>
          <w:color w:val="0070C0"/>
          <w:lang w:val="en-US"/>
        </w:rPr>
        <w:t>Chularojanamontri</w:t>
      </w:r>
      <w:proofErr w:type="spellEnd"/>
      <w:r w:rsidRPr="008627EF">
        <w:rPr>
          <w:rFonts w:asciiTheme="majorHAnsi" w:hAnsiTheme="majorHAnsi" w:cstheme="majorHAnsi"/>
          <w:color w:val="0070C0"/>
          <w:lang w:val="en-US"/>
        </w:rPr>
        <w:t xml:space="preserve"> et al. </w:t>
      </w:r>
      <w:proofErr w:type="gramStart"/>
      <w:r w:rsidRPr="008627EF">
        <w:rPr>
          <w:rFonts w:asciiTheme="majorHAnsi" w:hAnsiTheme="majorHAnsi" w:cstheme="majorHAnsi"/>
          <w:color w:val="0070C0"/>
          <w:lang w:val="en-US"/>
        </w:rPr>
        <w:t>reported</w:t>
      </w:r>
      <w:proofErr w:type="gramEnd"/>
      <w:r w:rsidRPr="008627EF">
        <w:rPr>
          <w:rFonts w:asciiTheme="majorHAnsi" w:hAnsiTheme="majorHAnsi" w:cstheme="majorHAnsi"/>
          <w:color w:val="0070C0"/>
          <w:lang w:val="en-US"/>
        </w:rPr>
        <w:t xml:space="preserve"> “no worsening of HCV infection” during </w:t>
      </w:r>
      <w:proofErr w:type="spellStart"/>
      <w:r w:rsidR="00754631" w:rsidRPr="008627EF">
        <w:rPr>
          <w:rFonts w:asciiTheme="majorHAnsi" w:hAnsiTheme="majorHAnsi" w:cstheme="majorHAnsi"/>
          <w:color w:val="0070C0"/>
          <w:lang w:val="en-US"/>
        </w:rPr>
        <w:t>ciclosporin</w:t>
      </w:r>
      <w:proofErr w:type="spellEnd"/>
      <w:r w:rsidR="00542F38">
        <w:rPr>
          <w:rFonts w:asciiTheme="majorHAnsi" w:hAnsiTheme="majorHAnsi" w:cstheme="majorHAnsi"/>
          <w:color w:val="0070C0"/>
          <w:lang w:val="en-US"/>
        </w:rPr>
        <w:t xml:space="preserve"> treatment in 1</w:t>
      </w:r>
      <w:r w:rsidRPr="008627EF">
        <w:rPr>
          <w:rFonts w:asciiTheme="majorHAnsi" w:hAnsiTheme="majorHAnsi" w:cstheme="majorHAnsi"/>
          <w:color w:val="0070C0"/>
          <w:lang w:val="en-US"/>
        </w:rPr>
        <w:t xml:space="preserve"> patient with psoriasis vulgaris and hepatitis C.</w:t>
      </w:r>
    </w:p>
    <w:p w14:paraId="1B01C708" w14:textId="77777777" w:rsidR="003B2AE9" w:rsidRPr="004112D2" w:rsidRDefault="003B2AE9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MTX</w:t>
      </w:r>
    </w:p>
    <w:p w14:paraId="2E3D453D" w14:textId="4C4A56EF" w:rsidR="003B2AE9" w:rsidRPr="004112D2" w:rsidRDefault="003B2AE9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 xml:space="preserve">Tang et al. reported that 19 of 174 </w:t>
      </w:r>
      <w:r w:rsidR="00754631" w:rsidRPr="004112D2">
        <w:rPr>
          <w:rFonts w:asciiTheme="majorHAnsi" w:hAnsiTheme="majorHAnsi" w:cstheme="majorHAnsi"/>
          <w:lang w:val="en-US"/>
        </w:rPr>
        <w:t xml:space="preserve">(10.9%) </w:t>
      </w:r>
      <w:r w:rsidRPr="004112D2">
        <w:rPr>
          <w:rFonts w:asciiTheme="majorHAnsi" w:hAnsiTheme="majorHAnsi" w:cstheme="majorHAnsi"/>
          <w:lang w:val="en-US"/>
        </w:rPr>
        <w:t>hepatitis C patients treated wit</w:t>
      </w:r>
      <w:r w:rsidR="00DB3F9E" w:rsidRPr="004112D2">
        <w:rPr>
          <w:rFonts w:asciiTheme="majorHAnsi" w:hAnsiTheme="majorHAnsi" w:cstheme="majorHAnsi"/>
          <w:lang w:val="en-US"/>
        </w:rPr>
        <w:t>h</w:t>
      </w:r>
      <w:r w:rsidRPr="004112D2">
        <w:rPr>
          <w:rFonts w:asciiTheme="majorHAnsi" w:hAnsiTheme="majorHAnsi" w:cstheme="majorHAnsi"/>
          <w:lang w:val="en-US"/>
        </w:rPr>
        <w:t xml:space="preserve"> MTX developed liver cirrhosis.</w:t>
      </w:r>
    </w:p>
    <w:p w14:paraId="3A5749D8" w14:textId="6DACB313" w:rsidR="003B2AE9" w:rsidRPr="008627EF" w:rsidRDefault="003B2AE9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spellStart"/>
      <w:r w:rsidRPr="008627EF">
        <w:rPr>
          <w:rFonts w:asciiTheme="majorHAnsi" w:hAnsiTheme="majorHAnsi" w:cstheme="majorHAnsi"/>
          <w:color w:val="0070C0"/>
          <w:lang w:val="en-US"/>
        </w:rPr>
        <w:t>Chularojanamontri</w:t>
      </w:r>
      <w:proofErr w:type="spellEnd"/>
      <w:r w:rsidRPr="008627EF">
        <w:rPr>
          <w:rFonts w:asciiTheme="majorHAnsi" w:hAnsiTheme="majorHAnsi" w:cstheme="majorHAnsi"/>
          <w:color w:val="0070C0"/>
          <w:lang w:val="en-US"/>
        </w:rPr>
        <w:t xml:space="preserve"> et al. </w:t>
      </w:r>
      <w:proofErr w:type="gramStart"/>
      <w:r w:rsidRPr="008627EF">
        <w:rPr>
          <w:rFonts w:asciiTheme="majorHAnsi" w:hAnsiTheme="majorHAnsi" w:cstheme="majorHAnsi"/>
          <w:color w:val="0070C0"/>
          <w:lang w:val="en-US"/>
        </w:rPr>
        <w:t>reported</w:t>
      </w:r>
      <w:proofErr w:type="gramEnd"/>
      <w:r w:rsidRPr="008627EF">
        <w:rPr>
          <w:rFonts w:asciiTheme="majorHAnsi" w:hAnsiTheme="majorHAnsi" w:cstheme="majorHAnsi"/>
          <w:color w:val="0070C0"/>
          <w:lang w:val="en-US"/>
        </w:rPr>
        <w:t xml:space="preserve"> “no worsening of HCV infection” during </w:t>
      </w:r>
      <w:r w:rsidR="00754631" w:rsidRPr="008627EF">
        <w:rPr>
          <w:rFonts w:asciiTheme="majorHAnsi" w:hAnsiTheme="majorHAnsi" w:cstheme="majorHAnsi"/>
          <w:color w:val="0070C0"/>
          <w:lang w:val="en-US"/>
        </w:rPr>
        <w:t>MTX</w:t>
      </w:r>
      <w:r w:rsidRPr="008627EF">
        <w:rPr>
          <w:rFonts w:asciiTheme="majorHAnsi" w:hAnsiTheme="majorHAnsi" w:cstheme="majorHAnsi"/>
          <w:color w:val="0070C0"/>
          <w:lang w:val="en-US"/>
        </w:rPr>
        <w:t xml:space="preserve"> treatment in 4 patients with psoriasis vulgaris and hepatitis C.</w:t>
      </w:r>
    </w:p>
    <w:p w14:paraId="41B8C866" w14:textId="77777777" w:rsidR="003B2AE9" w:rsidRPr="004112D2" w:rsidRDefault="003B2AE9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proofErr w:type="spellStart"/>
      <w:r w:rsidRPr="004112D2">
        <w:rPr>
          <w:rFonts w:asciiTheme="majorHAnsi" w:hAnsiTheme="majorHAnsi" w:cstheme="majorHAnsi"/>
          <w:lang w:val="en-US"/>
        </w:rPr>
        <w:t>TNFi</w:t>
      </w:r>
      <w:proofErr w:type="spellEnd"/>
    </w:p>
    <w:p w14:paraId="68ECBE3B" w14:textId="6C349616" w:rsidR="003B2AE9" w:rsidRPr="004112D2" w:rsidRDefault="00F220B0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ADA: </w:t>
      </w:r>
      <w:proofErr w:type="gramStart"/>
      <w:r w:rsidR="003B2AE9" w:rsidRPr="00BF4600">
        <w:rPr>
          <w:rFonts w:asciiTheme="majorHAnsi" w:hAnsiTheme="majorHAnsi" w:cstheme="majorHAnsi"/>
          <w:color w:val="0070C0"/>
          <w:lang w:val="en-US"/>
        </w:rPr>
        <w:t>A total of 3</w:t>
      </w:r>
      <w:proofErr w:type="gramEnd"/>
      <w:r w:rsidR="003B2AE9" w:rsidRPr="00BF4600">
        <w:rPr>
          <w:rFonts w:asciiTheme="majorHAnsi" w:hAnsiTheme="majorHAnsi" w:cstheme="majorHAnsi"/>
          <w:color w:val="0070C0"/>
          <w:lang w:val="en-US"/>
        </w:rPr>
        <w:t xml:space="preserve"> studies with 27 patients reported no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="003B2AE9" w:rsidRPr="00BF4600">
        <w:rPr>
          <w:rFonts w:asciiTheme="majorHAnsi" w:hAnsiTheme="majorHAnsi" w:cstheme="majorHAnsi"/>
          <w:color w:val="0070C0"/>
          <w:lang w:val="en-US"/>
        </w:rPr>
        <w:t xml:space="preserve"> C reactivation in patients 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 xml:space="preserve">treated with </w:t>
      </w:r>
      <w:proofErr w:type="spellStart"/>
      <w:r w:rsidR="00754631" w:rsidRPr="00BF4600">
        <w:rPr>
          <w:rFonts w:asciiTheme="majorHAnsi" w:hAnsiTheme="majorHAnsi" w:cstheme="majorHAnsi"/>
          <w:color w:val="0070C0"/>
          <w:lang w:val="en-US"/>
        </w:rPr>
        <w:t>adalimumab</w:t>
      </w:r>
      <w:proofErr w:type="spellEnd"/>
      <w:r w:rsidR="003B2AE9"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  <w:r w:rsidR="00B61775" w:rsidRPr="00BF4600">
        <w:rPr>
          <w:rFonts w:asciiTheme="majorHAnsi" w:hAnsiTheme="majorHAnsi" w:cstheme="majorHAnsi"/>
          <w:color w:val="0070C0"/>
          <w:lang w:val="en-US"/>
        </w:rPr>
        <w:t xml:space="preserve">In 20 of 27 (74.1%) </w:t>
      </w:r>
      <w:r w:rsidR="00B85F5B" w:rsidRPr="00BF4600">
        <w:rPr>
          <w:rFonts w:asciiTheme="majorHAnsi" w:hAnsiTheme="majorHAnsi" w:cstheme="majorHAnsi"/>
          <w:color w:val="0070C0"/>
          <w:lang w:val="en-US"/>
        </w:rPr>
        <w:t>patients,</w:t>
      </w:r>
      <w:r w:rsidR="00B61775" w:rsidRPr="00BF4600">
        <w:rPr>
          <w:rFonts w:asciiTheme="majorHAnsi" w:hAnsiTheme="majorHAnsi" w:cstheme="majorHAnsi"/>
          <w:color w:val="0070C0"/>
          <w:lang w:val="en-US"/>
        </w:rPr>
        <w:t xml:space="preserve"> a PASI75 response </w:t>
      </w:r>
      <w:proofErr w:type="gramStart"/>
      <w:r w:rsidR="00B61775" w:rsidRPr="00BF4600">
        <w:rPr>
          <w:rFonts w:asciiTheme="majorHAnsi" w:hAnsiTheme="majorHAnsi" w:cstheme="majorHAnsi"/>
          <w:color w:val="0070C0"/>
          <w:lang w:val="en-US"/>
        </w:rPr>
        <w:t>was reported</w:t>
      </w:r>
      <w:proofErr w:type="gramEnd"/>
      <w:r w:rsidR="00B61775"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</w:p>
    <w:p w14:paraId="2AAE27CF" w14:textId="0D37EBAE" w:rsidR="003B2AE9" w:rsidRPr="004112D2" w:rsidRDefault="00F220B0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ETA: </w:t>
      </w:r>
      <w:proofErr w:type="gramStart"/>
      <w:r w:rsidR="003B2AE9" w:rsidRPr="004112D2">
        <w:rPr>
          <w:rFonts w:asciiTheme="majorHAnsi" w:hAnsiTheme="majorHAnsi" w:cstheme="majorHAnsi"/>
          <w:lang w:val="en-US"/>
        </w:rPr>
        <w:t>A total of 4</w:t>
      </w:r>
      <w:proofErr w:type="gramEnd"/>
      <w:r w:rsidR="003B2AE9" w:rsidRPr="004112D2">
        <w:rPr>
          <w:rFonts w:asciiTheme="majorHAnsi" w:hAnsiTheme="majorHAnsi" w:cstheme="majorHAnsi"/>
          <w:lang w:val="en-US"/>
        </w:rPr>
        <w:t xml:space="preserve"> studies with 25 patients reported </w:t>
      </w:r>
      <w:r w:rsidR="00754631" w:rsidRPr="004112D2">
        <w:rPr>
          <w:rFonts w:asciiTheme="majorHAnsi" w:hAnsiTheme="majorHAnsi" w:cstheme="majorHAnsi"/>
          <w:lang w:val="en-US"/>
        </w:rPr>
        <w:t xml:space="preserve">no </w:t>
      </w:r>
      <w:r w:rsidR="002E34A6" w:rsidRPr="004112D2">
        <w:rPr>
          <w:rFonts w:asciiTheme="majorHAnsi" w:hAnsiTheme="majorHAnsi" w:cstheme="majorHAnsi"/>
          <w:lang w:val="en-US"/>
        </w:rPr>
        <w:t>hepatitis</w:t>
      </w:r>
      <w:r w:rsidR="00754631" w:rsidRPr="004112D2">
        <w:rPr>
          <w:rFonts w:asciiTheme="majorHAnsi" w:hAnsiTheme="majorHAnsi" w:cstheme="majorHAnsi"/>
          <w:lang w:val="en-US"/>
        </w:rPr>
        <w:t xml:space="preserve"> C reactivation in </w:t>
      </w:r>
      <w:r w:rsidR="00B85F5B" w:rsidRPr="004112D2">
        <w:rPr>
          <w:rFonts w:asciiTheme="majorHAnsi" w:hAnsiTheme="majorHAnsi" w:cstheme="majorHAnsi"/>
          <w:lang w:val="en-US"/>
        </w:rPr>
        <w:t xml:space="preserve">patients treated with </w:t>
      </w:r>
      <w:proofErr w:type="spellStart"/>
      <w:r w:rsidR="00B85F5B" w:rsidRPr="004112D2">
        <w:rPr>
          <w:rFonts w:asciiTheme="majorHAnsi" w:hAnsiTheme="majorHAnsi" w:cstheme="majorHAnsi"/>
          <w:lang w:val="en-US"/>
        </w:rPr>
        <w:t>etanercept</w:t>
      </w:r>
      <w:proofErr w:type="spellEnd"/>
      <w:r w:rsidR="003B2AE9" w:rsidRPr="004112D2">
        <w:rPr>
          <w:rFonts w:asciiTheme="majorHAnsi" w:hAnsiTheme="majorHAnsi" w:cstheme="majorHAnsi"/>
          <w:lang w:val="en-US"/>
        </w:rPr>
        <w:t xml:space="preserve">. </w:t>
      </w:r>
      <w:proofErr w:type="gramStart"/>
      <w:r w:rsidR="00B61775" w:rsidRPr="004112D2">
        <w:rPr>
          <w:rFonts w:asciiTheme="majorHAnsi" w:hAnsiTheme="majorHAnsi" w:cstheme="majorHAnsi"/>
          <w:lang w:val="en-US"/>
        </w:rPr>
        <w:t>A total of 3</w:t>
      </w:r>
      <w:proofErr w:type="gramEnd"/>
      <w:r w:rsidR="00B61775" w:rsidRPr="004112D2">
        <w:rPr>
          <w:rFonts w:asciiTheme="majorHAnsi" w:hAnsiTheme="majorHAnsi" w:cstheme="majorHAnsi"/>
          <w:lang w:val="en-US"/>
        </w:rPr>
        <w:t xml:space="preserve"> studies with 20 patients reported a PASI75 response in 12 (60%) </w:t>
      </w:r>
      <w:r w:rsidR="00B85F5B" w:rsidRPr="004112D2">
        <w:rPr>
          <w:rFonts w:asciiTheme="majorHAnsi" w:hAnsiTheme="majorHAnsi" w:cstheme="majorHAnsi"/>
          <w:lang w:val="en-US"/>
        </w:rPr>
        <w:t xml:space="preserve">patients treated with </w:t>
      </w:r>
      <w:proofErr w:type="spellStart"/>
      <w:r w:rsidR="00B85F5B" w:rsidRPr="004112D2">
        <w:rPr>
          <w:rFonts w:asciiTheme="majorHAnsi" w:hAnsiTheme="majorHAnsi" w:cstheme="majorHAnsi"/>
          <w:lang w:val="en-US"/>
        </w:rPr>
        <w:t>etanercept</w:t>
      </w:r>
      <w:proofErr w:type="spellEnd"/>
      <w:r w:rsidR="00B61775" w:rsidRPr="004112D2">
        <w:rPr>
          <w:rFonts w:asciiTheme="majorHAnsi" w:hAnsiTheme="majorHAnsi" w:cstheme="majorHAnsi"/>
          <w:lang w:val="en-US"/>
        </w:rPr>
        <w:t>.</w:t>
      </w:r>
    </w:p>
    <w:p w14:paraId="7639E94B" w14:textId="77777777" w:rsidR="003B2AE9" w:rsidRPr="004112D2" w:rsidRDefault="003B2AE9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UST</w:t>
      </w:r>
    </w:p>
    <w:p w14:paraId="26B7CBD2" w14:textId="39F3D051" w:rsidR="003B2AE9" w:rsidRPr="00BF4600" w:rsidRDefault="003B2AE9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proofErr w:type="gramStart"/>
      <w:r w:rsidRPr="00BF4600">
        <w:rPr>
          <w:rFonts w:asciiTheme="majorHAnsi" w:hAnsiTheme="majorHAnsi" w:cstheme="majorHAnsi"/>
          <w:color w:val="0070C0"/>
          <w:lang w:val="en-US"/>
        </w:rPr>
        <w:t>A total of 2</w:t>
      </w:r>
      <w:proofErr w:type="gramEnd"/>
      <w:r w:rsidRPr="00BF4600">
        <w:rPr>
          <w:rFonts w:asciiTheme="majorHAnsi" w:hAnsiTheme="majorHAnsi" w:cstheme="majorHAnsi"/>
          <w:color w:val="0070C0"/>
          <w:lang w:val="en-US"/>
        </w:rPr>
        <w:t xml:space="preserve"> studies with 15 patients reported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</w:t>
      </w:r>
      <w:r w:rsidR="00D60571" w:rsidRPr="00D60571">
        <w:rPr>
          <w:rFonts w:asciiTheme="majorHAnsi" w:hAnsiTheme="majorHAnsi" w:cstheme="majorHAnsi"/>
          <w:color w:val="0070C0"/>
          <w:lang w:val="en-US"/>
        </w:rPr>
        <w:t>C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reactivation in 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 xml:space="preserve">2 (13.3%) 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patients 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 xml:space="preserve">treated with </w:t>
      </w:r>
      <w:proofErr w:type="spellStart"/>
      <w:r w:rsidR="00754631" w:rsidRPr="00BF4600">
        <w:rPr>
          <w:rFonts w:asciiTheme="majorHAnsi" w:hAnsiTheme="majorHAnsi" w:cstheme="majorHAnsi"/>
          <w:color w:val="0070C0"/>
          <w:lang w:val="en-US"/>
        </w:rPr>
        <w:t>ustekinumab</w:t>
      </w:r>
      <w:proofErr w:type="spellEnd"/>
      <w:r w:rsidRPr="00BF4600">
        <w:rPr>
          <w:rFonts w:asciiTheme="majorHAnsi" w:hAnsiTheme="majorHAnsi" w:cstheme="majorHAnsi"/>
          <w:color w:val="0070C0"/>
          <w:lang w:val="en-US"/>
        </w:rPr>
        <w:t xml:space="preserve">. </w:t>
      </w:r>
    </w:p>
    <w:p w14:paraId="74130E94" w14:textId="77777777" w:rsidR="003B2AE9" w:rsidRPr="004112D2" w:rsidRDefault="003B2AE9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SEC</w:t>
      </w:r>
    </w:p>
    <w:p w14:paraId="1A23350F" w14:textId="4B5FAEE5" w:rsidR="003B2AE9" w:rsidRPr="004112D2" w:rsidRDefault="00515F78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Siegel et al. reported zero </w:t>
      </w:r>
      <w:r w:rsidR="003B2AE9" w:rsidRPr="004112D2">
        <w:rPr>
          <w:rFonts w:asciiTheme="majorHAnsi" w:hAnsiTheme="majorHAnsi" w:cstheme="majorHAnsi"/>
          <w:lang w:val="en-US"/>
        </w:rPr>
        <w:t xml:space="preserve">HCV reactivation in </w:t>
      </w:r>
      <w:proofErr w:type="gramStart"/>
      <w:r w:rsidR="00AB4182" w:rsidRPr="004112D2">
        <w:rPr>
          <w:rFonts w:asciiTheme="majorHAnsi" w:hAnsiTheme="majorHAnsi" w:cstheme="majorHAnsi"/>
          <w:lang w:val="en-US"/>
        </w:rPr>
        <w:t>3</w:t>
      </w:r>
      <w:proofErr w:type="gramEnd"/>
      <w:r w:rsidR="00AB4182" w:rsidRPr="004112D2">
        <w:rPr>
          <w:rFonts w:asciiTheme="majorHAnsi" w:hAnsiTheme="majorHAnsi" w:cstheme="majorHAnsi"/>
          <w:lang w:val="en-US"/>
        </w:rPr>
        <w:t xml:space="preserve"> patients treated with SEC. </w:t>
      </w:r>
    </w:p>
    <w:p w14:paraId="53B74C80" w14:textId="77777777" w:rsidR="003B2AE9" w:rsidRPr="004112D2" w:rsidRDefault="003B2AE9" w:rsidP="009820FB">
      <w:pPr>
        <w:pStyle w:val="Listenabsatz"/>
        <w:numPr>
          <w:ilvl w:val="1"/>
          <w:numId w:val="9"/>
        </w:num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More than one treatment</w:t>
      </w:r>
    </w:p>
    <w:p w14:paraId="39FEB25A" w14:textId="6FECC945" w:rsidR="003B2AE9" w:rsidRPr="00BF4600" w:rsidRDefault="003B2AE9" w:rsidP="009820FB">
      <w:pPr>
        <w:pStyle w:val="Listenabsatz"/>
        <w:numPr>
          <w:ilvl w:val="2"/>
          <w:numId w:val="9"/>
        </w:numPr>
        <w:jc w:val="both"/>
        <w:rPr>
          <w:rFonts w:asciiTheme="majorHAnsi" w:hAnsiTheme="majorHAnsi" w:cstheme="majorHAnsi"/>
          <w:color w:val="0070C0"/>
          <w:lang w:val="en-US"/>
        </w:rPr>
      </w:pPr>
      <w:r w:rsidRPr="00BF4600">
        <w:rPr>
          <w:rFonts w:asciiTheme="majorHAnsi" w:hAnsiTheme="majorHAnsi" w:cstheme="majorHAnsi"/>
          <w:color w:val="0070C0"/>
          <w:lang w:val="en-US"/>
        </w:rPr>
        <w:t xml:space="preserve">A total of </w:t>
      </w:r>
      <w:r w:rsidR="00AB4182" w:rsidRPr="00BF4600">
        <w:rPr>
          <w:rFonts w:asciiTheme="majorHAnsi" w:hAnsiTheme="majorHAnsi" w:cstheme="majorHAnsi"/>
          <w:color w:val="0070C0"/>
          <w:lang w:val="en-US"/>
        </w:rPr>
        <w:t>5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studies with </w:t>
      </w:r>
      <w:r w:rsidR="00AB4182" w:rsidRPr="00BF4600">
        <w:rPr>
          <w:rFonts w:asciiTheme="majorHAnsi" w:hAnsiTheme="majorHAnsi" w:cstheme="majorHAnsi"/>
          <w:color w:val="0070C0"/>
          <w:lang w:val="en-US"/>
        </w:rPr>
        <w:t>29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patients reported </w:t>
      </w:r>
      <w:r w:rsidR="00515F78">
        <w:rPr>
          <w:rFonts w:asciiTheme="majorHAnsi" w:hAnsiTheme="majorHAnsi" w:cstheme="majorHAnsi"/>
          <w:color w:val="0070C0"/>
          <w:lang w:val="en-US"/>
        </w:rPr>
        <w:t>zero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case</w:t>
      </w:r>
      <w:r w:rsidR="00515F78">
        <w:rPr>
          <w:rFonts w:asciiTheme="majorHAnsi" w:hAnsiTheme="majorHAnsi" w:cstheme="majorHAnsi"/>
          <w:color w:val="0070C0"/>
          <w:lang w:val="en-US"/>
        </w:rPr>
        <w:t>s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of </w:t>
      </w:r>
      <w:r w:rsidR="002E34A6" w:rsidRPr="00BF4600">
        <w:rPr>
          <w:rFonts w:asciiTheme="majorHAnsi" w:hAnsiTheme="majorHAnsi" w:cstheme="majorHAnsi"/>
          <w:color w:val="0070C0"/>
          <w:lang w:val="en-US"/>
        </w:rPr>
        <w:t>hepatitis</w:t>
      </w:r>
      <w:r w:rsidR="00AB4182" w:rsidRPr="00BF4600">
        <w:rPr>
          <w:rFonts w:asciiTheme="majorHAnsi" w:hAnsiTheme="majorHAnsi" w:cstheme="majorHAnsi"/>
          <w:color w:val="0070C0"/>
          <w:lang w:val="en-US"/>
        </w:rPr>
        <w:t xml:space="preserve"> C 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reactivation in patients </w:t>
      </w:r>
      <w:r w:rsidR="00515F78">
        <w:rPr>
          <w:rFonts w:asciiTheme="majorHAnsi" w:hAnsiTheme="majorHAnsi" w:cstheme="majorHAnsi"/>
          <w:color w:val="0070C0"/>
          <w:lang w:val="en-US"/>
        </w:rPr>
        <w:t xml:space="preserve">treated </w:t>
      </w:r>
      <w:r w:rsidRPr="00BF4600">
        <w:rPr>
          <w:rFonts w:asciiTheme="majorHAnsi" w:hAnsiTheme="majorHAnsi" w:cstheme="majorHAnsi"/>
          <w:color w:val="0070C0"/>
          <w:lang w:val="en-US"/>
        </w:rPr>
        <w:t>with more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 xml:space="preserve"> than one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systemic </w:t>
      </w:r>
      <w:r w:rsidR="00754631" w:rsidRPr="00BF4600">
        <w:rPr>
          <w:rFonts w:asciiTheme="majorHAnsi" w:hAnsiTheme="majorHAnsi" w:cstheme="majorHAnsi"/>
          <w:color w:val="0070C0"/>
          <w:lang w:val="en-US"/>
        </w:rPr>
        <w:t>drug</w:t>
      </w:r>
      <w:r w:rsidRPr="00BF4600">
        <w:rPr>
          <w:rFonts w:asciiTheme="majorHAnsi" w:hAnsiTheme="majorHAnsi" w:cstheme="majorHAnsi"/>
          <w:color w:val="0070C0"/>
          <w:lang w:val="en-US"/>
        </w:rPr>
        <w:t xml:space="preserve"> (conventional and biologics). </w:t>
      </w:r>
    </w:p>
    <w:p w14:paraId="2C172843" w14:textId="7EF88C03" w:rsidR="00AD3F64" w:rsidRPr="009820FB" w:rsidRDefault="00DF2A5D" w:rsidP="009820FB">
      <w:pPr>
        <w:jc w:val="both"/>
        <w:rPr>
          <w:b/>
          <w:lang w:val="en-US"/>
        </w:rPr>
      </w:pPr>
      <w:r w:rsidRPr="009820FB">
        <w:rPr>
          <w:b/>
          <w:lang w:val="en-US"/>
        </w:rPr>
        <w:t>Key message</w:t>
      </w:r>
    </w:p>
    <w:p w14:paraId="618174F2" w14:textId="1E53D414" w:rsidR="00335876" w:rsidRPr="004112D2" w:rsidRDefault="006A27D2" w:rsidP="009820FB">
      <w:pPr>
        <w:jc w:val="both"/>
        <w:rPr>
          <w:rFonts w:asciiTheme="majorHAnsi" w:hAnsiTheme="majorHAnsi" w:cstheme="majorHAnsi"/>
          <w:lang w:val="en-US"/>
        </w:rPr>
      </w:pPr>
      <w:r w:rsidRPr="006A27D2">
        <w:rPr>
          <w:rFonts w:asciiTheme="majorHAnsi" w:hAnsiTheme="majorHAnsi" w:cstheme="majorHAnsi"/>
          <w:lang w:val="en-US"/>
        </w:rPr>
        <w:t xml:space="preserve">Hepatitis B reactivation </w:t>
      </w:r>
      <w:proofErr w:type="gramStart"/>
      <w:r w:rsidRPr="006A27D2">
        <w:rPr>
          <w:rFonts w:asciiTheme="majorHAnsi" w:hAnsiTheme="majorHAnsi" w:cstheme="majorHAnsi"/>
          <w:lang w:val="en-US"/>
        </w:rPr>
        <w:t>was reported</w:t>
      </w:r>
      <w:proofErr w:type="gramEnd"/>
      <w:r w:rsidRPr="006A27D2">
        <w:rPr>
          <w:rFonts w:asciiTheme="majorHAnsi" w:hAnsiTheme="majorHAnsi" w:cstheme="majorHAnsi"/>
          <w:lang w:val="en-US"/>
        </w:rPr>
        <w:t xml:space="preserve"> in 21 of 555 patients who received systemic psoriasis </w:t>
      </w:r>
      <w:r>
        <w:rPr>
          <w:rFonts w:asciiTheme="majorHAnsi" w:hAnsiTheme="majorHAnsi" w:cstheme="majorHAnsi"/>
          <w:lang w:val="en-US"/>
        </w:rPr>
        <w:t>treatment</w:t>
      </w:r>
      <w:r w:rsidRPr="006A27D2">
        <w:rPr>
          <w:rFonts w:asciiTheme="majorHAnsi" w:hAnsiTheme="majorHAnsi" w:cstheme="majorHAnsi"/>
          <w:lang w:val="en-US"/>
        </w:rPr>
        <w:t xml:space="preserve">. </w:t>
      </w:r>
      <w:r>
        <w:rPr>
          <w:rFonts w:asciiTheme="majorHAnsi" w:hAnsiTheme="majorHAnsi" w:cstheme="majorHAnsi"/>
          <w:lang w:val="en-US"/>
        </w:rPr>
        <w:t xml:space="preserve">Hepatitis C reactivation was reported in </w:t>
      </w:r>
      <w:proofErr w:type="gramStart"/>
      <w:r>
        <w:rPr>
          <w:rFonts w:asciiTheme="majorHAnsi" w:hAnsiTheme="majorHAnsi" w:cstheme="majorHAnsi"/>
          <w:lang w:val="en-US"/>
        </w:rPr>
        <w:t>3</w:t>
      </w:r>
      <w:proofErr w:type="gramEnd"/>
      <w:r w:rsidRPr="006A27D2">
        <w:rPr>
          <w:rFonts w:asciiTheme="majorHAnsi" w:hAnsiTheme="majorHAnsi" w:cstheme="majorHAnsi"/>
          <w:lang w:val="en-US"/>
        </w:rPr>
        <w:t xml:space="preserve"> of </w:t>
      </w:r>
      <w:r>
        <w:rPr>
          <w:rFonts w:asciiTheme="majorHAnsi" w:hAnsiTheme="majorHAnsi" w:cstheme="majorHAnsi"/>
          <w:lang w:val="en-US"/>
        </w:rPr>
        <w:t>126</w:t>
      </w:r>
      <w:r w:rsidRPr="006A27D2">
        <w:rPr>
          <w:rFonts w:asciiTheme="majorHAnsi" w:hAnsiTheme="majorHAnsi" w:cstheme="majorHAnsi"/>
          <w:lang w:val="en-US"/>
        </w:rPr>
        <w:t xml:space="preserve"> patients who received systemic psoriasis </w:t>
      </w:r>
      <w:r>
        <w:rPr>
          <w:rFonts w:asciiTheme="majorHAnsi" w:hAnsiTheme="majorHAnsi" w:cstheme="majorHAnsi"/>
          <w:lang w:val="en-US"/>
        </w:rPr>
        <w:t>treatment</w:t>
      </w:r>
      <w:r w:rsidRPr="006A27D2">
        <w:rPr>
          <w:rFonts w:asciiTheme="majorHAnsi" w:hAnsiTheme="majorHAnsi" w:cstheme="majorHAnsi"/>
          <w:lang w:val="en-US"/>
        </w:rPr>
        <w:t xml:space="preserve">. </w:t>
      </w:r>
      <w:r w:rsidR="009820FB" w:rsidRPr="004112D2">
        <w:rPr>
          <w:rFonts w:asciiTheme="majorHAnsi" w:hAnsiTheme="majorHAnsi" w:cstheme="majorHAnsi"/>
          <w:lang w:val="en-US"/>
        </w:rPr>
        <w:t xml:space="preserve">Neither in patients with hepatitis B nor in </w:t>
      </w:r>
      <w:r w:rsidR="00515F78">
        <w:rPr>
          <w:rFonts w:asciiTheme="majorHAnsi" w:hAnsiTheme="majorHAnsi" w:cstheme="majorHAnsi"/>
          <w:lang w:val="en-US"/>
        </w:rPr>
        <w:t>patients with hepatitis C</w:t>
      </w:r>
      <w:r w:rsidR="009820FB" w:rsidRPr="004112D2">
        <w:rPr>
          <w:rFonts w:asciiTheme="majorHAnsi" w:hAnsiTheme="majorHAnsi" w:cstheme="majorHAnsi"/>
          <w:lang w:val="en-US"/>
        </w:rPr>
        <w:t xml:space="preserve"> has virus reactivation been reported during treatment with </w:t>
      </w:r>
      <w:proofErr w:type="spellStart"/>
      <w:r w:rsidR="00A15AE4">
        <w:rPr>
          <w:rFonts w:asciiTheme="majorHAnsi" w:hAnsiTheme="majorHAnsi" w:cstheme="majorHAnsi"/>
          <w:lang w:val="en-US"/>
        </w:rPr>
        <w:t>acitretin</w:t>
      </w:r>
      <w:proofErr w:type="spellEnd"/>
      <w:r w:rsidR="00A15AE4">
        <w:rPr>
          <w:rFonts w:asciiTheme="majorHAnsi" w:hAnsiTheme="majorHAnsi" w:cstheme="majorHAnsi"/>
          <w:lang w:val="en-US"/>
        </w:rPr>
        <w:t xml:space="preserve"> (n=10)</w:t>
      </w:r>
      <w:r w:rsidR="009820FB" w:rsidRPr="004112D2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A15AE4">
        <w:rPr>
          <w:rFonts w:asciiTheme="majorHAnsi" w:hAnsiTheme="majorHAnsi" w:cstheme="majorHAnsi"/>
          <w:lang w:val="en-US"/>
        </w:rPr>
        <w:t>ciclosporin</w:t>
      </w:r>
      <w:proofErr w:type="spellEnd"/>
      <w:r w:rsidR="00A15AE4">
        <w:rPr>
          <w:rFonts w:asciiTheme="majorHAnsi" w:hAnsiTheme="majorHAnsi" w:cstheme="majorHAnsi"/>
          <w:lang w:val="en-US"/>
        </w:rPr>
        <w:t xml:space="preserve"> (n=3)</w:t>
      </w:r>
      <w:r w:rsidR="009820FB" w:rsidRPr="004112D2">
        <w:rPr>
          <w:rFonts w:asciiTheme="majorHAnsi" w:hAnsiTheme="majorHAnsi" w:cstheme="majorHAnsi"/>
          <w:lang w:val="en-US"/>
        </w:rPr>
        <w:t xml:space="preserve"> or </w:t>
      </w:r>
      <w:proofErr w:type="spellStart"/>
      <w:r w:rsidR="00262433">
        <w:rPr>
          <w:rFonts w:asciiTheme="majorHAnsi" w:hAnsiTheme="majorHAnsi" w:cstheme="majorHAnsi"/>
          <w:lang w:val="en-US"/>
        </w:rPr>
        <w:t>adalimumab</w:t>
      </w:r>
      <w:proofErr w:type="spellEnd"/>
      <w:r w:rsidR="00262433">
        <w:rPr>
          <w:rFonts w:asciiTheme="majorHAnsi" w:hAnsiTheme="majorHAnsi" w:cstheme="majorHAnsi"/>
          <w:lang w:val="en-US"/>
        </w:rPr>
        <w:t xml:space="preserve"> (n=65)</w:t>
      </w:r>
      <w:r w:rsidR="009820FB" w:rsidRPr="004112D2"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="00716DCB">
        <w:rPr>
          <w:rFonts w:asciiTheme="majorHAnsi" w:hAnsiTheme="majorHAnsi" w:cstheme="majorHAnsi"/>
          <w:lang w:val="en-US"/>
        </w:rPr>
        <w:t>Etanercep</w:t>
      </w:r>
      <w:r w:rsidR="00DB3F9E" w:rsidRPr="004112D2">
        <w:rPr>
          <w:rFonts w:asciiTheme="majorHAnsi" w:hAnsiTheme="majorHAnsi" w:cstheme="majorHAnsi"/>
          <w:lang w:val="en-US"/>
        </w:rPr>
        <w:t>t</w:t>
      </w:r>
      <w:proofErr w:type="spellEnd"/>
      <w:r w:rsidR="0062123C">
        <w:rPr>
          <w:rFonts w:asciiTheme="majorHAnsi" w:hAnsiTheme="majorHAnsi" w:cstheme="majorHAnsi"/>
          <w:lang w:val="en-US"/>
        </w:rPr>
        <w:t xml:space="preserve"> </w:t>
      </w:r>
      <w:r w:rsidR="00262433">
        <w:rPr>
          <w:rFonts w:asciiTheme="majorHAnsi" w:hAnsiTheme="majorHAnsi" w:cstheme="majorHAnsi"/>
          <w:lang w:val="en-US"/>
        </w:rPr>
        <w:t xml:space="preserve">(n=25) </w:t>
      </w:r>
      <w:r w:rsidR="0062123C">
        <w:rPr>
          <w:rFonts w:asciiTheme="majorHAnsi" w:hAnsiTheme="majorHAnsi" w:cstheme="majorHAnsi"/>
          <w:lang w:val="en-US"/>
        </w:rPr>
        <w:t>and MTX</w:t>
      </w:r>
      <w:r w:rsidR="00DB3F9E" w:rsidRPr="004112D2">
        <w:rPr>
          <w:rFonts w:asciiTheme="majorHAnsi" w:hAnsiTheme="majorHAnsi" w:cstheme="majorHAnsi"/>
          <w:lang w:val="en-US"/>
        </w:rPr>
        <w:t xml:space="preserve"> </w:t>
      </w:r>
      <w:r w:rsidR="00262433">
        <w:rPr>
          <w:rFonts w:asciiTheme="majorHAnsi" w:hAnsiTheme="majorHAnsi" w:cstheme="majorHAnsi"/>
          <w:lang w:val="en-US"/>
        </w:rPr>
        <w:t xml:space="preserve">(n=4) </w:t>
      </w:r>
      <w:r w:rsidR="00DB3F9E" w:rsidRPr="004112D2">
        <w:rPr>
          <w:rFonts w:asciiTheme="majorHAnsi" w:hAnsiTheme="majorHAnsi" w:cstheme="majorHAnsi"/>
          <w:lang w:val="en-US"/>
        </w:rPr>
        <w:t>also did not lead to virus reactivation in hepatitis C patients</w:t>
      </w:r>
      <w:r w:rsidR="00335876" w:rsidRPr="004112D2">
        <w:rPr>
          <w:rFonts w:asciiTheme="majorHAnsi" w:hAnsiTheme="majorHAnsi" w:cstheme="majorHAnsi"/>
          <w:lang w:val="en-US"/>
        </w:rPr>
        <w:t xml:space="preserve"> in the included studies</w:t>
      </w:r>
      <w:r w:rsidR="00DB3F9E" w:rsidRPr="004112D2">
        <w:rPr>
          <w:rFonts w:asciiTheme="majorHAnsi" w:hAnsiTheme="majorHAnsi" w:cstheme="majorHAnsi"/>
          <w:lang w:val="en-US"/>
        </w:rPr>
        <w:t xml:space="preserve">. </w:t>
      </w:r>
      <w:r w:rsidR="00515F78">
        <w:rPr>
          <w:rFonts w:asciiTheme="majorHAnsi" w:hAnsiTheme="majorHAnsi" w:cstheme="majorHAnsi"/>
          <w:lang w:val="en-US"/>
        </w:rPr>
        <w:t>Very few retrospective studies are available</w:t>
      </w:r>
      <w:r w:rsidR="009820FB" w:rsidRPr="004112D2">
        <w:rPr>
          <w:rFonts w:asciiTheme="majorHAnsi" w:hAnsiTheme="majorHAnsi" w:cstheme="majorHAnsi"/>
          <w:lang w:val="en-US"/>
        </w:rPr>
        <w:t xml:space="preserve">. </w:t>
      </w:r>
      <w:r w:rsidR="00515F78">
        <w:rPr>
          <w:rFonts w:asciiTheme="majorHAnsi" w:hAnsiTheme="majorHAnsi" w:cstheme="majorHAnsi"/>
          <w:lang w:val="en-US"/>
        </w:rPr>
        <w:t>The reporting on</w:t>
      </w:r>
      <w:r w:rsidR="009820FB" w:rsidRPr="004112D2">
        <w:rPr>
          <w:rFonts w:asciiTheme="majorHAnsi" w:hAnsiTheme="majorHAnsi" w:cstheme="majorHAnsi"/>
          <w:lang w:val="en-US"/>
        </w:rPr>
        <w:t xml:space="preserve"> whether patients have also received antiviral treatment during psoriasis therapy</w:t>
      </w:r>
      <w:r w:rsidR="00515F78">
        <w:rPr>
          <w:rFonts w:asciiTheme="majorHAnsi" w:hAnsiTheme="majorHAnsi" w:cstheme="majorHAnsi"/>
          <w:lang w:val="en-US"/>
        </w:rPr>
        <w:t xml:space="preserve"> is inconsistent or incomplete</w:t>
      </w:r>
      <w:r w:rsidR="009820FB" w:rsidRPr="004112D2">
        <w:rPr>
          <w:rFonts w:asciiTheme="majorHAnsi" w:hAnsiTheme="majorHAnsi" w:cstheme="majorHAnsi"/>
          <w:lang w:val="en-US"/>
        </w:rPr>
        <w:t>.</w:t>
      </w:r>
      <w:r w:rsidR="00335876" w:rsidRPr="004112D2">
        <w:rPr>
          <w:rFonts w:asciiTheme="majorHAnsi" w:hAnsiTheme="majorHAnsi" w:cstheme="majorHAnsi"/>
          <w:lang w:val="en-US"/>
        </w:rPr>
        <w:t xml:space="preserve"> </w:t>
      </w:r>
      <w:r w:rsidR="00262433" w:rsidRPr="00262433">
        <w:rPr>
          <w:rFonts w:asciiTheme="majorHAnsi" w:hAnsiTheme="majorHAnsi" w:cstheme="majorHAnsi"/>
          <w:lang w:val="en-US"/>
        </w:rPr>
        <w:t>In addition, the antigen and antibody sta</w:t>
      </w:r>
      <w:r w:rsidR="00515F78">
        <w:rPr>
          <w:rFonts w:asciiTheme="majorHAnsi" w:hAnsiTheme="majorHAnsi" w:cstheme="majorHAnsi"/>
          <w:lang w:val="en-US"/>
        </w:rPr>
        <w:t>tus of hepatitis B patients is reported inconsistently, hence further differentiation by status is</w:t>
      </w:r>
      <w:r w:rsidR="00083474">
        <w:rPr>
          <w:rFonts w:asciiTheme="majorHAnsi" w:hAnsiTheme="majorHAnsi" w:cstheme="majorHAnsi"/>
          <w:lang w:val="en-US"/>
        </w:rPr>
        <w:t xml:space="preserve"> not </w:t>
      </w:r>
      <w:proofErr w:type="spellStart"/>
      <w:r w:rsidR="00083474">
        <w:rPr>
          <w:rFonts w:asciiTheme="majorHAnsi" w:hAnsiTheme="majorHAnsi" w:cstheme="majorHAnsi"/>
          <w:lang w:val="en-US"/>
        </w:rPr>
        <w:t>possible.</w:t>
      </w:r>
      <w:r w:rsidR="00335876" w:rsidRPr="004112D2">
        <w:rPr>
          <w:rFonts w:asciiTheme="majorHAnsi" w:hAnsiTheme="majorHAnsi" w:cstheme="majorHAnsi"/>
          <w:lang w:val="en-US"/>
        </w:rPr>
        <w:t>Transaminases</w:t>
      </w:r>
      <w:proofErr w:type="spellEnd"/>
      <w:r w:rsidR="00335876" w:rsidRPr="004112D2">
        <w:rPr>
          <w:rFonts w:asciiTheme="majorHAnsi" w:hAnsiTheme="majorHAnsi" w:cstheme="majorHAnsi"/>
          <w:lang w:val="en-US"/>
        </w:rPr>
        <w:t xml:space="preserve"> levels almost remained stable in the reported studies.</w:t>
      </w:r>
    </w:p>
    <w:p w14:paraId="7749103C" w14:textId="1F799350" w:rsidR="00335876" w:rsidRPr="004112D2" w:rsidRDefault="00A15AE4" w:rsidP="009820FB">
      <w:p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In 64 of 81 (79.0</w:t>
      </w:r>
      <w:r w:rsidR="00335876" w:rsidRPr="004112D2">
        <w:rPr>
          <w:rFonts w:asciiTheme="majorHAnsi" w:hAnsiTheme="majorHAnsi" w:cstheme="majorHAnsi"/>
          <w:lang w:val="en-US"/>
        </w:rPr>
        <w:t xml:space="preserve">%) patients with </w:t>
      </w:r>
      <w:proofErr w:type="gramStart"/>
      <w:r w:rsidR="00335876" w:rsidRPr="004112D2">
        <w:rPr>
          <w:rFonts w:asciiTheme="majorHAnsi" w:hAnsiTheme="majorHAnsi" w:cstheme="majorHAnsi"/>
          <w:lang w:val="en-US"/>
        </w:rPr>
        <w:t>psoriasis</w:t>
      </w:r>
      <w:proofErr w:type="gramEnd"/>
      <w:r w:rsidR="00335876" w:rsidRPr="004112D2">
        <w:rPr>
          <w:rFonts w:asciiTheme="majorHAnsi" w:hAnsiTheme="majorHAnsi" w:cstheme="majorHAnsi"/>
          <w:lang w:val="en-US"/>
        </w:rPr>
        <w:t xml:space="preserve"> vulgaris and hepatitis B or C treated wit</w:t>
      </w:r>
      <w:bookmarkStart w:id="0" w:name="_GoBack"/>
      <w:bookmarkEnd w:id="0"/>
      <w:r w:rsidR="00335876" w:rsidRPr="004112D2">
        <w:rPr>
          <w:rFonts w:asciiTheme="majorHAnsi" w:hAnsiTheme="majorHAnsi" w:cstheme="majorHAnsi"/>
          <w:lang w:val="en-US"/>
        </w:rPr>
        <w:t xml:space="preserve">h </w:t>
      </w:r>
      <w:proofErr w:type="spellStart"/>
      <w:r w:rsidR="00335876" w:rsidRPr="004112D2">
        <w:rPr>
          <w:rFonts w:asciiTheme="majorHAnsi" w:hAnsiTheme="majorHAnsi" w:cstheme="majorHAnsi"/>
          <w:lang w:val="en-US"/>
        </w:rPr>
        <w:t>TNFi</w:t>
      </w:r>
      <w:proofErr w:type="spellEnd"/>
      <w:r w:rsidR="00335876" w:rsidRPr="004112D2">
        <w:rPr>
          <w:rFonts w:asciiTheme="majorHAnsi" w:hAnsiTheme="majorHAnsi" w:cstheme="majorHAnsi"/>
          <w:lang w:val="en-US"/>
        </w:rPr>
        <w:t xml:space="preserve"> a PASI75 response was reported in retrospective studies. Prospective data was only in one study avail</w:t>
      </w:r>
      <w:r>
        <w:rPr>
          <w:rFonts w:asciiTheme="majorHAnsi" w:hAnsiTheme="majorHAnsi" w:cstheme="majorHAnsi"/>
          <w:lang w:val="en-US"/>
        </w:rPr>
        <w:t>able in which all patients (n=32</w:t>
      </w:r>
      <w:r w:rsidR="00335876" w:rsidRPr="004112D2">
        <w:rPr>
          <w:rFonts w:asciiTheme="majorHAnsi" w:hAnsiTheme="majorHAnsi" w:cstheme="majorHAnsi"/>
          <w:lang w:val="en-US"/>
        </w:rPr>
        <w:t>)</w:t>
      </w:r>
      <w:r>
        <w:rPr>
          <w:rFonts w:asciiTheme="majorHAnsi" w:hAnsiTheme="majorHAnsi" w:cstheme="majorHAnsi"/>
          <w:lang w:val="en-US"/>
        </w:rPr>
        <w:t xml:space="preserve"> with psoriasis vulgaris and hepatitis B</w:t>
      </w:r>
      <w:r w:rsidR="00335876" w:rsidRPr="004112D2">
        <w:rPr>
          <w:rFonts w:asciiTheme="majorHAnsi" w:hAnsiTheme="majorHAnsi" w:cstheme="majorHAnsi"/>
          <w:lang w:val="en-US"/>
        </w:rPr>
        <w:t xml:space="preserve"> showed a PASI75 response after a treatment with ADA, ETA or UST (risk of bias high). However, a direct comparison with non-hepatitis patients is missing.</w:t>
      </w:r>
    </w:p>
    <w:p w14:paraId="3C94DC2C" w14:textId="3E705A68" w:rsidR="00E06C9F" w:rsidRPr="009820FB" w:rsidRDefault="00E06C9F" w:rsidP="009820FB">
      <w:pPr>
        <w:jc w:val="both"/>
        <w:rPr>
          <w:b/>
          <w:lang w:val="en-US"/>
        </w:rPr>
      </w:pPr>
      <w:r w:rsidRPr="009820FB">
        <w:rPr>
          <w:b/>
          <w:lang w:val="en-US"/>
        </w:rPr>
        <w:t>How up-to-date is this review?</w:t>
      </w:r>
    </w:p>
    <w:p w14:paraId="35CF4672" w14:textId="77777777" w:rsidR="00E06C9F" w:rsidRPr="004112D2" w:rsidRDefault="00E06C9F" w:rsidP="009820FB">
      <w:pPr>
        <w:jc w:val="both"/>
        <w:rPr>
          <w:rFonts w:asciiTheme="majorHAnsi" w:hAnsiTheme="majorHAnsi" w:cstheme="majorHAnsi"/>
          <w:lang w:val="en-US"/>
        </w:rPr>
      </w:pPr>
      <w:r w:rsidRPr="004112D2">
        <w:rPr>
          <w:rFonts w:asciiTheme="majorHAnsi" w:hAnsiTheme="majorHAnsi" w:cstheme="majorHAnsi"/>
          <w:lang w:val="en-US"/>
        </w:rPr>
        <w:t>We searched for studies that has been published up to 2 July 2021</w:t>
      </w:r>
    </w:p>
    <w:sectPr w:rsidR="00E06C9F" w:rsidRPr="004112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EED"/>
    <w:multiLevelType w:val="hybridMultilevel"/>
    <w:tmpl w:val="E1040642"/>
    <w:lvl w:ilvl="0" w:tplc="6A70A5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892"/>
    <w:multiLevelType w:val="hybridMultilevel"/>
    <w:tmpl w:val="5060EA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B216C"/>
    <w:multiLevelType w:val="hybridMultilevel"/>
    <w:tmpl w:val="B596D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07C8"/>
    <w:multiLevelType w:val="hybridMultilevel"/>
    <w:tmpl w:val="37E01024"/>
    <w:lvl w:ilvl="0" w:tplc="D1F4F60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22D0737"/>
    <w:multiLevelType w:val="hybridMultilevel"/>
    <w:tmpl w:val="EB50E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D3127"/>
    <w:multiLevelType w:val="hybridMultilevel"/>
    <w:tmpl w:val="050E6386"/>
    <w:lvl w:ilvl="0" w:tplc="A8A2CD7C">
      <w:numFmt w:val="bullet"/>
      <w:lvlText w:val=""/>
      <w:lvlJc w:val="left"/>
      <w:pPr>
        <w:ind w:left="644" w:hanging="360"/>
      </w:pPr>
      <w:rPr>
        <w:rFonts w:ascii="Wingdings" w:eastAsiaTheme="minorHAnsi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B81327"/>
    <w:multiLevelType w:val="hybridMultilevel"/>
    <w:tmpl w:val="ECFCFC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8363D"/>
    <w:multiLevelType w:val="hybridMultilevel"/>
    <w:tmpl w:val="003C51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F06869"/>
    <w:multiLevelType w:val="hybridMultilevel"/>
    <w:tmpl w:val="C0FAA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9v2sds9adaexeprpyx5szrv5fwxe99trds&quot;&gt;210708_methods_diabetes&lt;record-ids&gt;&lt;item&gt;18&lt;/item&gt;&lt;/record-ids&gt;&lt;/item&gt;&lt;/Libraries&gt;"/>
  </w:docVars>
  <w:rsids>
    <w:rsidRoot w:val="009E068E"/>
    <w:rsid w:val="0000175B"/>
    <w:rsid w:val="000145A6"/>
    <w:rsid w:val="00030D6C"/>
    <w:rsid w:val="000516DE"/>
    <w:rsid w:val="000627BD"/>
    <w:rsid w:val="000764BC"/>
    <w:rsid w:val="00083474"/>
    <w:rsid w:val="00095D93"/>
    <w:rsid w:val="000F1DBD"/>
    <w:rsid w:val="0012521A"/>
    <w:rsid w:val="00143A7C"/>
    <w:rsid w:val="00161380"/>
    <w:rsid w:val="001B2FD4"/>
    <w:rsid w:val="001B4B94"/>
    <w:rsid w:val="001C39AA"/>
    <w:rsid w:val="001E06C9"/>
    <w:rsid w:val="002147FB"/>
    <w:rsid w:val="0022483A"/>
    <w:rsid w:val="00234AA8"/>
    <w:rsid w:val="00237E18"/>
    <w:rsid w:val="0024024D"/>
    <w:rsid w:val="00244DD6"/>
    <w:rsid w:val="00262433"/>
    <w:rsid w:val="00274F95"/>
    <w:rsid w:val="00276AD9"/>
    <w:rsid w:val="002B1FB5"/>
    <w:rsid w:val="002E34A6"/>
    <w:rsid w:val="0030693D"/>
    <w:rsid w:val="00331C78"/>
    <w:rsid w:val="00335876"/>
    <w:rsid w:val="00343B76"/>
    <w:rsid w:val="00373C97"/>
    <w:rsid w:val="003B2AE9"/>
    <w:rsid w:val="003C22C9"/>
    <w:rsid w:val="003D2965"/>
    <w:rsid w:val="003F11D7"/>
    <w:rsid w:val="003F1938"/>
    <w:rsid w:val="003F5450"/>
    <w:rsid w:val="0040633C"/>
    <w:rsid w:val="004112D2"/>
    <w:rsid w:val="00441730"/>
    <w:rsid w:val="00461A09"/>
    <w:rsid w:val="00462B43"/>
    <w:rsid w:val="004D099A"/>
    <w:rsid w:val="00515F78"/>
    <w:rsid w:val="00536BBF"/>
    <w:rsid w:val="0054164C"/>
    <w:rsid w:val="00542F38"/>
    <w:rsid w:val="00554113"/>
    <w:rsid w:val="00573D9C"/>
    <w:rsid w:val="005961E7"/>
    <w:rsid w:val="005C2E14"/>
    <w:rsid w:val="005D7F63"/>
    <w:rsid w:val="0062123C"/>
    <w:rsid w:val="00631288"/>
    <w:rsid w:val="00694A8C"/>
    <w:rsid w:val="006A27D2"/>
    <w:rsid w:val="006B0094"/>
    <w:rsid w:val="006B25DC"/>
    <w:rsid w:val="006E0257"/>
    <w:rsid w:val="006E3F08"/>
    <w:rsid w:val="006E684C"/>
    <w:rsid w:val="006F2742"/>
    <w:rsid w:val="00716DCB"/>
    <w:rsid w:val="007205BB"/>
    <w:rsid w:val="00732A76"/>
    <w:rsid w:val="00733B79"/>
    <w:rsid w:val="007366EA"/>
    <w:rsid w:val="00754631"/>
    <w:rsid w:val="007870DC"/>
    <w:rsid w:val="007B57C9"/>
    <w:rsid w:val="007B60B4"/>
    <w:rsid w:val="007D16E5"/>
    <w:rsid w:val="007F374A"/>
    <w:rsid w:val="008159E4"/>
    <w:rsid w:val="00823CE5"/>
    <w:rsid w:val="008251C8"/>
    <w:rsid w:val="0082707C"/>
    <w:rsid w:val="008627EF"/>
    <w:rsid w:val="008C16F7"/>
    <w:rsid w:val="008C2A44"/>
    <w:rsid w:val="008E0173"/>
    <w:rsid w:val="008E2476"/>
    <w:rsid w:val="008F06AD"/>
    <w:rsid w:val="008F636B"/>
    <w:rsid w:val="0090691F"/>
    <w:rsid w:val="009109CB"/>
    <w:rsid w:val="00913F85"/>
    <w:rsid w:val="00925CE9"/>
    <w:rsid w:val="0094187D"/>
    <w:rsid w:val="009563A4"/>
    <w:rsid w:val="009820FB"/>
    <w:rsid w:val="009B1CC5"/>
    <w:rsid w:val="009D0C20"/>
    <w:rsid w:val="009E068E"/>
    <w:rsid w:val="009E4DD3"/>
    <w:rsid w:val="00A10463"/>
    <w:rsid w:val="00A15AE4"/>
    <w:rsid w:val="00A21949"/>
    <w:rsid w:val="00A416F9"/>
    <w:rsid w:val="00A44C00"/>
    <w:rsid w:val="00A545BA"/>
    <w:rsid w:val="00A60DFF"/>
    <w:rsid w:val="00A65026"/>
    <w:rsid w:val="00A71B98"/>
    <w:rsid w:val="00A77A4C"/>
    <w:rsid w:val="00A941B7"/>
    <w:rsid w:val="00AB4182"/>
    <w:rsid w:val="00AB771D"/>
    <w:rsid w:val="00AD3F64"/>
    <w:rsid w:val="00B03002"/>
    <w:rsid w:val="00B11D2C"/>
    <w:rsid w:val="00B25A1B"/>
    <w:rsid w:val="00B47065"/>
    <w:rsid w:val="00B568D0"/>
    <w:rsid w:val="00B60A85"/>
    <w:rsid w:val="00B61775"/>
    <w:rsid w:val="00B80440"/>
    <w:rsid w:val="00B8266F"/>
    <w:rsid w:val="00B85F5B"/>
    <w:rsid w:val="00BB47A4"/>
    <w:rsid w:val="00BD2043"/>
    <w:rsid w:val="00BF4600"/>
    <w:rsid w:val="00C0730C"/>
    <w:rsid w:val="00C138D7"/>
    <w:rsid w:val="00C7409B"/>
    <w:rsid w:val="00C94F50"/>
    <w:rsid w:val="00CC19EA"/>
    <w:rsid w:val="00CD6511"/>
    <w:rsid w:val="00D53548"/>
    <w:rsid w:val="00D60571"/>
    <w:rsid w:val="00DB2048"/>
    <w:rsid w:val="00DB3F9E"/>
    <w:rsid w:val="00DF2A5D"/>
    <w:rsid w:val="00DF55A9"/>
    <w:rsid w:val="00E0528F"/>
    <w:rsid w:val="00E06C9F"/>
    <w:rsid w:val="00E166D0"/>
    <w:rsid w:val="00E20460"/>
    <w:rsid w:val="00E409B9"/>
    <w:rsid w:val="00E51253"/>
    <w:rsid w:val="00E55C5D"/>
    <w:rsid w:val="00E864F0"/>
    <w:rsid w:val="00E87726"/>
    <w:rsid w:val="00EB7BA1"/>
    <w:rsid w:val="00EC2A9C"/>
    <w:rsid w:val="00EC3EF2"/>
    <w:rsid w:val="00F17001"/>
    <w:rsid w:val="00F220B0"/>
    <w:rsid w:val="00F31743"/>
    <w:rsid w:val="00F348A4"/>
    <w:rsid w:val="00F50915"/>
    <w:rsid w:val="00FA1933"/>
    <w:rsid w:val="00FC0A4D"/>
    <w:rsid w:val="00FC60F7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A783"/>
  <w15:chartTrackingRefBased/>
  <w15:docId w15:val="{FD29233C-5110-47C9-8A64-66DACEC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E068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E068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enabsatz">
    <w:name w:val="List Paragraph"/>
    <w:basedOn w:val="Standard"/>
    <w:uiPriority w:val="34"/>
    <w:qFormat/>
    <w:rsid w:val="00732A7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E1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05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05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05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05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05B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Standard"/>
    <w:link w:val="EndNoteBibliographyTitleZchn"/>
    <w:rsid w:val="00F3174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F3174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F3174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F31743"/>
    <w:rPr>
      <w:rFonts w:ascii="Calibri" w:hAnsi="Calibri" w:cs="Calibri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306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Kinberger, Maria</dc:creator>
  <cp:keywords/>
  <dc:description/>
  <cp:lastModifiedBy>Dressler, Corinna</cp:lastModifiedBy>
  <cp:revision>5</cp:revision>
  <cp:lastPrinted>2021-07-20T14:01:00Z</cp:lastPrinted>
  <dcterms:created xsi:type="dcterms:W3CDTF">2021-08-19T08:03:00Z</dcterms:created>
  <dcterms:modified xsi:type="dcterms:W3CDTF">2021-08-19T12:23:00Z</dcterms:modified>
</cp:coreProperties>
</file>